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olor w:val="000000"/>
          <w:sz w:val="24"/>
        </w:rPr>
      </w:pPr>
      <w:bookmarkStart w:id="0" w:name="_GoBack"/>
      <w:bookmarkEnd w:id="0"/>
    </w:p>
    <w:p>
      <w:pPr>
        <w:pStyle w:val="2"/>
      </w:pPr>
      <w:r>
        <w:rPr>
          <w:rFonts w:hint="eastAsia"/>
        </w:rPr>
        <w:t>市级评估标准细则</w:t>
      </w:r>
    </w:p>
    <w:p/>
    <w:p/>
    <w:tbl>
      <w:tblPr>
        <w:tblStyle w:val="1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50"/>
        <w:gridCol w:w="1276"/>
        <w:gridCol w:w="3260"/>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b/>
              </w:rPr>
            </w:pPr>
            <w:r>
              <w:rPr>
                <w:rFonts w:hint="eastAsia"/>
                <w:b/>
              </w:rPr>
              <w:t>指标</w:t>
            </w:r>
          </w:p>
          <w:p>
            <w:pPr>
              <w:jc w:val="center"/>
              <w:rPr>
                <w:b/>
              </w:rPr>
            </w:pPr>
            <w:r>
              <w:rPr>
                <w:rFonts w:hint="eastAsia"/>
                <w:b/>
              </w:rPr>
              <w:t>索引号</w:t>
            </w:r>
          </w:p>
        </w:tc>
        <w:tc>
          <w:tcPr>
            <w:tcW w:w="850" w:type="dxa"/>
          </w:tcPr>
          <w:p>
            <w:pPr>
              <w:jc w:val="center"/>
              <w:rPr>
                <w:b/>
              </w:rPr>
            </w:pPr>
            <w:r>
              <w:rPr>
                <w:rFonts w:hint="eastAsia"/>
                <w:b/>
              </w:rPr>
              <w:t>标号</w:t>
            </w:r>
          </w:p>
        </w:tc>
        <w:tc>
          <w:tcPr>
            <w:tcW w:w="1276" w:type="dxa"/>
          </w:tcPr>
          <w:p>
            <w:pPr>
              <w:jc w:val="center"/>
              <w:rPr>
                <w:b/>
              </w:rPr>
            </w:pPr>
            <w:r>
              <w:rPr>
                <w:rFonts w:hint="eastAsia"/>
                <w:b/>
              </w:rPr>
              <w:t>指标名称</w:t>
            </w:r>
          </w:p>
        </w:tc>
        <w:tc>
          <w:tcPr>
            <w:tcW w:w="3260" w:type="dxa"/>
          </w:tcPr>
          <w:p>
            <w:pPr>
              <w:jc w:val="center"/>
              <w:rPr>
                <w:b/>
              </w:rPr>
            </w:pPr>
            <w:r>
              <w:rPr>
                <w:rFonts w:hint="eastAsia"/>
                <w:b/>
              </w:rPr>
              <w:t>细则</w:t>
            </w:r>
          </w:p>
        </w:tc>
        <w:tc>
          <w:tcPr>
            <w:tcW w:w="2147" w:type="dxa"/>
          </w:tcPr>
          <w:p>
            <w:pPr>
              <w:jc w:val="center"/>
              <w:rPr>
                <w:b/>
              </w:rPr>
            </w:pPr>
            <w:r>
              <w:rPr>
                <w:rFonts w:hint="eastAsia"/>
                <w:b/>
              </w:rPr>
              <w:t>打分说明项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1146</w:t>
            </w:r>
          </w:p>
        </w:tc>
        <w:tc>
          <w:tcPr>
            <w:tcW w:w="850" w:type="dxa"/>
          </w:tcPr>
          <w:p>
            <w:r>
              <w:t>1.1.1</w:t>
            </w:r>
          </w:p>
        </w:tc>
        <w:tc>
          <w:tcPr>
            <w:tcW w:w="1276" w:type="dxa"/>
          </w:tcPr>
          <w:p>
            <w:r>
              <w:rPr>
                <w:rFonts w:hint="eastAsia"/>
              </w:rPr>
              <w:t>基本服务项目健全并免费提供</w:t>
            </w:r>
          </w:p>
        </w:tc>
        <w:tc>
          <w:tcPr>
            <w:tcW w:w="3260" w:type="dxa"/>
          </w:tcPr>
          <w:p>
            <w:r>
              <w:rPr>
                <w:rFonts w:hint="eastAsia"/>
              </w:rPr>
              <w:t>根据文化部、财政部共同出台的《关于推进全国美术馆、公共图书馆、文化馆（站）免费开放工作的意见》及财政部《关于加强美术馆、公共图书馆、文化馆（站）免费开放经费保障工作的通知》等文件的具体规定进行考查。</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B1147</w:t>
            </w:r>
          </w:p>
        </w:tc>
        <w:tc>
          <w:tcPr>
            <w:tcW w:w="850" w:type="dxa"/>
          </w:tcPr>
          <w:p>
            <w:r>
              <w:t>1.1.2</w:t>
            </w:r>
          </w:p>
        </w:tc>
        <w:tc>
          <w:tcPr>
            <w:tcW w:w="1276" w:type="dxa"/>
          </w:tcPr>
          <w:p>
            <w:r>
              <w:rPr>
                <w:rFonts w:hint="eastAsia"/>
              </w:rPr>
              <w:t>周开馆时间（小时）</w:t>
            </w:r>
          </w:p>
        </w:tc>
        <w:tc>
          <w:tcPr>
            <w:tcW w:w="3260" w:type="dxa"/>
          </w:tcPr>
          <w:p>
            <w:r>
              <w:rPr>
                <w:rFonts w:hint="eastAsia"/>
              </w:rPr>
              <w:t>每周开馆时间（小时）：以本馆一周整体开馆的小时数为依据评分，提交材料可标注阅览室、借阅部门及冬夏不同的开放小时数，以其公示的具体开放时间作为开馆时间以及执行情况的证据材料。</w:t>
            </w:r>
            <w:r>
              <w:t xml:space="preserve"> </w:t>
            </w:r>
          </w:p>
        </w:tc>
        <w:tc>
          <w:tcPr>
            <w:tcW w:w="2147" w:type="dxa"/>
          </w:tcPr>
          <w:p>
            <w:r>
              <w:rPr>
                <w:rFonts w:hint="eastAsia"/>
              </w:rPr>
              <w:t>凡周六、日闭馆的不得分。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B1148</w:t>
            </w:r>
          </w:p>
        </w:tc>
        <w:tc>
          <w:tcPr>
            <w:tcW w:w="850" w:type="dxa"/>
          </w:tcPr>
          <w:p>
            <w:r>
              <w:t>1.1.3</w:t>
            </w:r>
          </w:p>
        </w:tc>
        <w:tc>
          <w:tcPr>
            <w:tcW w:w="1276" w:type="dxa"/>
          </w:tcPr>
          <w:p>
            <w:r>
              <w:rPr>
                <w:rFonts w:hint="eastAsia"/>
              </w:rPr>
              <w:t>持证读者占比（%）</w:t>
            </w:r>
          </w:p>
        </w:tc>
        <w:tc>
          <w:tcPr>
            <w:tcW w:w="3260" w:type="dxa"/>
          </w:tcPr>
          <w:p>
            <w:r>
              <w:rPr>
                <w:rFonts w:hint="eastAsia"/>
              </w:rPr>
              <w:t>1.计算方法：持证读者数/服务人口，其中服务人口=城区常住人口+1/3（城区外其它常住人口）。</w:t>
            </w:r>
          </w:p>
          <w:p>
            <w:pPr>
              <w:adjustRightInd w:val="0"/>
              <w:snapToGrid w:val="0"/>
              <w:spacing w:line="240" w:lineRule="atLeast"/>
            </w:pPr>
            <w:r>
              <w:rPr>
                <w:rFonts w:hint="eastAsia"/>
              </w:rPr>
              <w:t>2.持证读者数量指评估期内通过各种证件（身份证、市民证、社保卡等）接受过图书馆服务（含到馆服务和非到馆服务）的读者数量。</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B1149</w:t>
            </w:r>
          </w:p>
        </w:tc>
        <w:tc>
          <w:tcPr>
            <w:tcW w:w="850" w:type="dxa"/>
          </w:tcPr>
          <w:p>
            <w:r>
              <w:t>1.1.4</w:t>
            </w:r>
          </w:p>
        </w:tc>
        <w:tc>
          <w:tcPr>
            <w:tcW w:w="1276" w:type="dxa"/>
          </w:tcPr>
          <w:p>
            <w:r>
              <w:rPr>
                <w:rFonts w:hint="eastAsia"/>
              </w:rPr>
              <w:t>年读者人均到馆量</w:t>
            </w:r>
          </w:p>
          <w:p>
            <w:r>
              <w:rPr>
                <w:rFonts w:hint="eastAsia"/>
              </w:rPr>
              <w:t>（人次）</w:t>
            </w:r>
          </w:p>
        </w:tc>
        <w:tc>
          <w:tcPr>
            <w:tcW w:w="3260" w:type="dxa"/>
          </w:tcPr>
          <w:p>
            <w:r>
              <w:rPr>
                <w:rFonts w:hint="eastAsia"/>
              </w:rPr>
              <w:t>1.计算方法：年到馆总人次/服务人口，其中服务人口=城区常住人口+1/3（城区外其它常住人口）。</w:t>
            </w:r>
          </w:p>
          <w:p>
            <w:r>
              <w:rPr>
                <w:rFonts w:hint="eastAsia"/>
              </w:rPr>
              <w:t>2.年到馆总人次不含本级以下辖区年到馆总人次，含本级总分馆中各分馆的年到馆总人次。</w:t>
            </w:r>
          </w:p>
          <w:p>
            <w:pPr>
              <w:adjustRightInd w:val="0"/>
              <w:snapToGrid w:val="0"/>
              <w:spacing w:line="240" w:lineRule="atLeast"/>
            </w:pPr>
            <w:r>
              <w:t>3.</w:t>
            </w:r>
            <w:r>
              <w:rPr>
                <w:rFonts w:hint="eastAsia"/>
              </w:rPr>
              <w:t>以评估期各年度统计数据为准，计算评估期的平均数。</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B1150</w:t>
            </w:r>
          </w:p>
        </w:tc>
        <w:tc>
          <w:tcPr>
            <w:tcW w:w="850" w:type="dxa"/>
          </w:tcPr>
          <w:p>
            <w:r>
              <w:t>1.1.5</w:t>
            </w:r>
          </w:p>
        </w:tc>
        <w:tc>
          <w:tcPr>
            <w:tcW w:w="1276" w:type="dxa"/>
          </w:tcPr>
          <w:p>
            <w:r>
              <w:rPr>
                <w:rFonts w:hint="eastAsia"/>
              </w:rPr>
              <w:t>年文献外借量（万册次）</w:t>
            </w:r>
          </w:p>
        </w:tc>
        <w:tc>
          <w:tcPr>
            <w:tcW w:w="3260" w:type="dxa"/>
          </w:tcPr>
          <w:p>
            <w:r>
              <w:rPr>
                <w:rFonts w:hint="eastAsia"/>
              </w:rPr>
              <w:t>1.文献外借包括电子文献外借，不含本级以下辖区年外借册次，含本级总分馆中各分馆的年外借册次。</w:t>
            </w:r>
          </w:p>
          <w:p>
            <w:r>
              <w:rPr>
                <w:rFonts w:hint="eastAsia"/>
              </w:rPr>
              <w:t>2.以评估期各年度统计数据为准，计算评估期的平均数。</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B1151</w:t>
            </w:r>
          </w:p>
        </w:tc>
        <w:tc>
          <w:tcPr>
            <w:tcW w:w="850" w:type="dxa"/>
          </w:tcPr>
          <w:p>
            <w:r>
              <w:t>1.1.6</w:t>
            </w:r>
          </w:p>
        </w:tc>
        <w:tc>
          <w:tcPr>
            <w:tcW w:w="1276" w:type="dxa"/>
          </w:tcPr>
          <w:p>
            <w:r>
              <w:rPr>
                <w:rFonts w:hint="eastAsia"/>
              </w:rPr>
              <w:t>年文献流通率</w:t>
            </w:r>
          </w:p>
        </w:tc>
        <w:tc>
          <w:tcPr>
            <w:tcW w:w="3260" w:type="dxa"/>
          </w:tcPr>
          <w:p>
            <w:r>
              <w:rPr>
                <w:rFonts w:hint="eastAsia"/>
              </w:rPr>
              <w:t>1.年流通总册次不含本级以下辖区年流通总册次，含本级总分馆中各分馆的年流通总册次。2.流通总量中不含古籍、民国文献、特藏文献等。</w:t>
            </w:r>
          </w:p>
          <w:p>
            <w:pPr>
              <w:adjustRightInd w:val="0"/>
              <w:snapToGrid w:val="0"/>
              <w:spacing w:line="240" w:lineRule="atLeast"/>
            </w:pPr>
            <w:r>
              <w:rPr>
                <w:rFonts w:hint="eastAsia"/>
              </w:rPr>
              <w:t>3.提供评估期各年度统计数据，计算平均值。</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B1152</w:t>
            </w:r>
          </w:p>
        </w:tc>
        <w:tc>
          <w:tcPr>
            <w:tcW w:w="850" w:type="dxa"/>
          </w:tcPr>
          <w:p>
            <w:r>
              <w:rPr>
                <w:rFonts w:hint="eastAsia"/>
              </w:rPr>
              <w:t>1.1.7</w:t>
            </w:r>
          </w:p>
        </w:tc>
        <w:tc>
          <w:tcPr>
            <w:tcW w:w="1276" w:type="dxa"/>
          </w:tcPr>
          <w:p>
            <w:r>
              <w:rPr>
                <w:rFonts w:hint="eastAsia"/>
              </w:rPr>
              <w:t>年员工人均流通量（册次）</w:t>
            </w:r>
          </w:p>
        </w:tc>
        <w:tc>
          <w:tcPr>
            <w:tcW w:w="3260" w:type="dxa"/>
          </w:tcPr>
          <w:p>
            <w:r>
              <w:rPr>
                <w:rFonts w:hint="eastAsia"/>
              </w:rPr>
              <w:t>计算方法：年外借总册次/员工数量，其中员工指图书馆业务人员与管理人员，不含物业、保洁、保卫人员；不含一年以下的短期聘用人员和临时工。</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B1154</w:t>
            </w:r>
          </w:p>
        </w:tc>
        <w:tc>
          <w:tcPr>
            <w:tcW w:w="850" w:type="dxa"/>
          </w:tcPr>
          <w:p>
            <w:r>
              <w:t>1.1.9</w:t>
            </w:r>
          </w:p>
        </w:tc>
        <w:tc>
          <w:tcPr>
            <w:tcW w:w="1276" w:type="dxa"/>
          </w:tcPr>
          <w:p>
            <w:r>
              <w:rPr>
                <w:rFonts w:hint="eastAsia"/>
              </w:rPr>
              <w:t>年馆外流动服务点文献借阅量</w:t>
            </w:r>
          </w:p>
          <w:p>
            <w:pPr>
              <w:spacing w:line="240" w:lineRule="atLeast"/>
            </w:pPr>
            <w:r>
              <w:rPr>
                <w:rFonts w:hint="eastAsia"/>
              </w:rPr>
              <w:t>（万册次）</w:t>
            </w:r>
          </w:p>
        </w:tc>
        <w:tc>
          <w:tcPr>
            <w:tcW w:w="3260" w:type="dxa"/>
          </w:tcPr>
          <w:p>
            <w:r>
              <w:rPr>
                <w:rFonts w:hint="eastAsia"/>
              </w:rPr>
              <w:t>1.馆外流动服务点含流动图书车、自助图书馆及新形态流动服务点等。</w:t>
            </w:r>
          </w:p>
          <w:p>
            <w:r>
              <w:rPr>
                <w:rFonts w:hint="eastAsia"/>
              </w:rPr>
              <w:t>2.馆外流动服务点文献借阅册次不含馆内借阅册次。</w:t>
            </w:r>
          </w:p>
          <w:p>
            <w:pPr>
              <w:adjustRightInd w:val="0"/>
              <w:snapToGrid w:val="0"/>
              <w:spacing w:line="240" w:lineRule="atLeast"/>
            </w:pPr>
            <w:r>
              <w:rPr>
                <w:rFonts w:hint="eastAsia"/>
              </w:rPr>
              <w:t>3.以评估期各年度统计数据为准，计算评估期的平均数。</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rPr>
                <w:rFonts w:hint="eastAsia"/>
              </w:rPr>
              <w:t>B1160</w:t>
            </w:r>
          </w:p>
        </w:tc>
        <w:tc>
          <w:tcPr>
            <w:tcW w:w="850" w:type="dxa"/>
            <w:vAlign w:val="center"/>
          </w:tcPr>
          <w:p>
            <w:r>
              <w:rPr>
                <w:rFonts w:hint="eastAsia"/>
              </w:rPr>
              <w:t>1.3.1</w:t>
            </w:r>
          </w:p>
        </w:tc>
        <w:tc>
          <w:tcPr>
            <w:tcW w:w="1276" w:type="dxa"/>
          </w:tcPr>
          <w:p>
            <w:r>
              <w:rPr>
                <w:rFonts w:hint="eastAsia"/>
              </w:rPr>
              <w:t>年讲座、培训次数</w:t>
            </w:r>
          </w:p>
        </w:tc>
        <w:tc>
          <w:tcPr>
            <w:tcW w:w="3260" w:type="dxa"/>
          </w:tcPr>
          <w:p>
            <w:r>
              <w:rPr>
                <w:rFonts w:hint="eastAsia"/>
              </w:rPr>
              <w:t>1.本项次数统计为图书馆实地开展的讲座、培训次数。其加分项中的网上讲座、培训指图书馆主办的培训、讲座活动有现场录像，通过网络有专门栏目供读者观看。</w:t>
            </w:r>
          </w:p>
          <w:p>
            <w:r>
              <w:rPr>
                <w:rFonts w:hint="eastAsia"/>
              </w:rPr>
              <w:t>2.提供评估期各年度数据，计算平均值。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rPr>
                <w:rFonts w:hint="eastAsia"/>
              </w:rPr>
              <w:t>B1161</w:t>
            </w:r>
          </w:p>
        </w:tc>
        <w:tc>
          <w:tcPr>
            <w:tcW w:w="850" w:type="dxa"/>
            <w:vAlign w:val="center"/>
          </w:tcPr>
          <w:p>
            <w:r>
              <w:t>1</w:t>
            </w:r>
            <w:r>
              <w:rPr>
                <w:rFonts w:hint="eastAsia"/>
              </w:rPr>
              <w:t>.3.2</w:t>
            </w:r>
          </w:p>
        </w:tc>
        <w:tc>
          <w:tcPr>
            <w:tcW w:w="1276" w:type="dxa"/>
          </w:tcPr>
          <w:p>
            <w:r>
              <w:rPr>
                <w:rFonts w:hint="eastAsia"/>
              </w:rPr>
              <w:t>年展览次数</w:t>
            </w:r>
          </w:p>
        </w:tc>
        <w:tc>
          <w:tcPr>
            <w:tcW w:w="3260" w:type="dxa"/>
          </w:tcPr>
          <w:p>
            <w:r>
              <w:rPr>
                <w:rFonts w:hint="eastAsia"/>
              </w:rPr>
              <w:t>1.本项次数统计为图书馆实地开展的讲座、培训次数。其加分项中的网上展览指图书馆主办的展览活动以</w:t>
            </w:r>
            <w:r>
              <w:t>电子化形式</w:t>
            </w:r>
            <w:r>
              <w:rPr>
                <w:rFonts w:hint="eastAsia"/>
              </w:rPr>
              <w:t>，通过网络有专门栏目供读者观看。</w:t>
            </w:r>
          </w:p>
          <w:p>
            <w:r>
              <w:rPr>
                <w:rFonts w:hint="eastAsia"/>
              </w:rPr>
              <w:t>2.提供评估期各年度数据，计算平均值。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rPr>
                <w:rFonts w:hint="eastAsia"/>
              </w:rPr>
              <w:t>B116</w:t>
            </w:r>
            <w:r>
              <w:t>2</w:t>
            </w:r>
          </w:p>
        </w:tc>
        <w:tc>
          <w:tcPr>
            <w:tcW w:w="850" w:type="dxa"/>
          </w:tcPr>
          <w:p>
            <w:r>
              <w:t>1.3.3</w:t>
            </w:r>
          </w:p>
        </w:tc>
        <w:tc>
          <w:tcPr>
            <w:tcW w:w="1276" w:type="dxa"/>
          </w:tcPr>
          <w:p>
            <w:r>
              <w:rPr>
                <w:rFonts w:hint="eastAsia"/>
              </w:rPr>
              <w:t>年阅读推广活动次数</w:t>
            </w:r>
          </w:p>
        </w:tc>
        <w:tc>
          <w:tcPr>
            <w:tcW w:w="3260" w:type="dxa"/>
          </w:tcPr>
          <w:p>
            <w:r>
              <w:rPr>
                <w:rFonts w:hint="eastAsia"/>
              </w:rPr>
              <w:t>提供评估期各年度数据，计算平均值。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rPr>
                <w:rFonts w:hint="eastAsia"/>
              </w:rPr>
              <w:t>B116</w:t>
            </w:r>
            <w:r>
              <w:t>4</w:t>
            </w:r>
          </w:p>
        </w:tc>
        <w:tc>
          <w:tcPr>
            <w:tcW w:w="850" w:type="dxa"/>
          </w:tcPr>
          <w:p>
            <w:r>
              <w:t>1.3.5</w:t>
            </w:r>
          </w:p>
        </w:tc>
        <w:tc>
          <w:tcPr>
            <w:tcW w:w="1276" w:type="dxa"/>
          </w:tcPr>
          <w:p>
            <w:r>
              <w:rPr>
                <w:rFonts w:hint="eastAsia"/>
              </w:rPr>
              <w:t>年每万人参加读者活动人次</w:t>
            </w:r>
          </w:p>
        </w:tc>
        <w:tc>
          <w:tcPr>
            <w:tcW w:w="3260" w:type="dxa"/>
          </w:tcPr>
          <w:p>
            <w:r>
              <w:rPr>
                <w:rFonts w:hint="eastAsia"/>
              </w:rPr>
              <w:t>1.计算方法：年参加图书馆活动的总人次/服务人口×10000，其中服务人口=城区常住人口+1/3（城区外其它常住人口）。</w:t>
            </w:r>
          </w:p>
          <w:p>
            <w:pPr>
              <w:adjustRightInd w:val="0"/>
              <w:snapToGrid w:val="0"/>
              <w:spacing w:line="240" w:lineRule="atLeast"/>
            </w:pPr>
            <w:r>
              <w:rPr>
                <w:rFonts w:hint="eastAsia"/>
              </w:rPr>
              <w:t>2.城区常住人口和城区外其它常住人口数量以评估期各年度各地方统计年鉴的数据为准。</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rPr>
                <w:rFonts w:hint="eastAsia"/>
              </w:rPr>
              <w:t>B1172</w:t>
            </w:r>
          </w:p>
        </w:tc>
        <w:tc>
          <w:tcPr>
            <w:tcW w:w="850" w:type="dxa"/>
          </w:tcPr>
          <w:p>
            <w:r>
              <w:t>1.5.1</w:t>
            </w:r>
          </w:p>
        </w:tc>
        <w:tc>
          <w:tcPr>
            <w:tcW w:w="1276" w:type="dxa"/>
          </w:tcPr>
          <w:p>
            <w:r>
              <w:rPr>
                <w:rFonts w:hint="eastAsia"/>
              </w:rPr>
              <w:t>图书馆网站</w:t>
            </w:r>
          </w:p>
        </w:tc>
        <w:tc>
          <w:tcPr>
            <w:tcW w:w="3260" w:type="dxa"/>
          </w:tcPr>
          <w:p>
            <w:r>
              <w:rPr>
                <w:rFonts w:hint="eastAsia"/>
              </w:rPr>
              <w:t>加分项要求图书馆网站中有提供相关服务信息介绍的英文网页，可加5分。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r>
              <w:t>B1173</w:t>
            </w:r>
          </w:p>
        </w:tc>
        <w:tc>
          <w:tcPr>
            <w:tcW w:w="850" w:type="dxa"/>
          </w:tcPr>
          <w:p>
            <w:r>
              <w:t>1.5.2</w:t>
            </w:r>
          </w:p>
        </w:tc>
        <w:tc>
          <w:tcPr>
            <w:tcW w:w="1276" w:type="dxa"/>
          </w:tcPr>
          <w:p>
            <w:r>
              <w:rPr>
                <w:rFonts w:hint="eastAsia"/>
              </w:rPr>
              <w:t>年人均网站访问量（次）</w:t>
            </w:r>
          </w:p>
        </w:tc>
        <w:tc>
          <w:tcPr>
            <w:tcW w:w="3260" w:type="dxa"/>
          </w:tcPr>
          <w:p>
            <w:r>
              <w:rPr>
                <w:rFonts w:hint="eastAsia"/>
              </w:rPr>
              <w:t>1.年人均网站访问量指图书馆网站中所有网页（含文件及动态网页）被访客浏览的总次数/服务人口，其中服务人口=城区常住人口+1/</w:t>
            </w:r>
            <w:r>
              <w:t>3</w:t>
            </w:r>
            <w:r>
              <w:rPr>
                <w:rFonts w:hint="eastAsia"/>
              </w:rPr>
              <w:t>（城区外其它常住人口）。</w:t>
            </w:r>
          </w:p>
          <w:p>
            <w:pPr>
              <w:adjustRightInd w:val="0"/>
              <w:snapToGrid w:val="0"/>
              <w:spacing w:line="240" w:lineRule="atLeast"/>
            </w:pPr>
            <w:r>
              <w:rPr>
                <w:rFonts w:hint="eastAsia"/>
              </w:rPr>
              <w:t>2.提供评估期各年数据，计算平均值。</w:t>
            </w:r>
          </w:p>
        </w:tc>
        <w:tc>
          <w:tcPr>
            <w:tcW w:w="2147" w:type="dxa"/>
          </w:tcPr>
          <w:p>
            <w:pPr>
              <w:adjustRightInd w:val="0"/>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B1176</w:t>
            </w:r>
          </w:p>
        </w:tc>
        <w:tc>
          <w:tcPr>
            <w:tcW w:w="850" w:type="dxa"/>
          </w:tcPr>
          <w:p>
            <w:r>
              <w:t>1.6.1</w:t>
            </w:r>
          </w:p>
        </w:tc>
        <w:tc>
          <w:tcPr>
            <w:tcW w:w="1276" w:type="dxa"/>
          </w:tcPr>
          <w:p>
            <w:r>
              <w:rPr>
                <w:rFonts w:hint="eastAsia"/>
              </w:rPr>
              <w:t>微信公众平台、微博服务</w:t>
            </w:r>
          </w:p>
        </w:tc>
        <w:tc>
          <w:tcPr>
            <w:tcW w:w="3260" w:type="dxa"/>
          </w:tcPr>
          <w:p>
            <w:r>
              <w:rPr>
                <w:rFonts w:hint="eastAsia"/>
              </w:rPr>
              <w:t>公众平台指正式注册的官方微信或微博服务平台，支付宝服务窗等同类服务平台可归此类。相关数据可以微信平台及微博后台数据为准。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B1177</w:t>
            </w:r>
          </w:p>
        </w:tc>
        <w:tc>
          <w:tcPr>
            <w:tcW w:w="850" w:type="dxa"/>
          </w:tcPr>
          <w:p>
            <w:r>
              <w:t>1.6.2</w:t>
            </w:r>
          </w:p>
        </w:tc>
        <w:tc>
          <w:tcPr>
            <w:tcW w:w="1276" w:type="dxa"/>
          </w:tcPr>
          <w:p>
            <w:r>
              <w:rPr>
                <w:rFonts w:hint="eastAsia"/>
              </w:rPr>
              <w:t>移动图书馆</w:t>
            </w:r>
          </w:p>
        </w:tc>
        <w:tc>
          <w:tcPr>
            <w:tcW w:w="3260" w:type="dxa"/>
          </w:tcPr>
          <w:p>
            <w:r>
              <w:rPr>
                <w:rFonts w:hint="eastAsia"/>
              </w:rPr>
              <w:t>除APP外，能实现移动图书馆功能的微信公众号和支付宝服务窗也可归此类。</w:t>
            </w:r>
            <w:r>
              <w:t xml:space="preserve"> </w:t>
            </w:r>
          </w:p>
        </w:tc>
        <w:tc>
          <w:tcPr>
            <w:tcW w:w="2147" w:type="dxa"/>
          </w:tcPr>
          <w:p>
            <w:r>
              <w:rPr>
                <w:rFonts w:hint="eastAsia"/>
              </w:rPr>
              <w:t>只提供Android版本或iOS版移动端软件其中一种的，1分；提供两种版本软件，3分。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B1178</w:t>
            </w:r>
          </w:p>
        </w:tc>
        <w:tc>
          <w:tcPr>
            <w:tcW w:w="850" w:type="dxa"/>
          </w:tcPr>
          <w:p>
            <w:r>
              <w:t>1.6.3</w:t>
            </w:r>
          </w:p>
        </w:tc>
        <w:tc>
          <w:tcPr>
            <w:tcW w:w="1276" w:type="dxa"/>
          </w:tcPr>
          <w:p>
            <w:r>
              <w:rPr>
                <w:rFonts w:hint="eastAsia"/>
              </w:rPr>
              <w:t>触摸媒体服务</w:t>
            </w:r>
          </w:p>
        </w:tc>
        <w:tc>
          <w:tcPr>
            <w:tcW w:w="3260" w:type="dxa"/>
          </w:tcPr>
          <w:p>
            <w:r>
              <w:rPr>
                <w:rFonts w:hint="eastAsia"/>
              </w:rPr>
              <w:t>图书馆内设置触摸媒体机，触摸媒体可以提供馆内路线导航、图书预览、会员登录等服务，得分按照触摸媒体机的数量评分。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B1181</w:t>
            </w:r>
          </w:p>
        </w:tc>
        <w:tc>
          <w:tcPr>
            <w:tcW w:w="850" w:type="dxa"/>
          </w:tcPr>
          <w:p>
            <w:r>
              <w:t>1.7.2</w:t>
            </w:r>
          </w:p>
        </w:tc>
        <w:tc>
          <w:tcPr>
            <w:tcW w:w="1276" w:type="dxa"/>
          </w:tcPr>
          <w:p>
            <w:r>
              <w:rPr>
                <w:rFonts w:hint="eastAsia"/>
              </w:rPr>
              <w:t>服务品牌建设</w:t>
            </w:r>
          </w:p>
        </w:tc>
        <w:tc>
          <w:tcPr>
            <w:tcW w:w="3260" w:type="dxa"/>
          </w:tcPr>
          <w:p>
            <w:r>
              <w:rPr>
                <w:rFonts w:hint="eastAsia"/>
              </w:rPr>
              <w:t>1.服务品牌指图书馆在服务创新过程中形成的有完整服务模式、有特色并具有显著成效的服务活动。</w:t>
            </w:r>
          </w:p>
          <w:p>
            <w:r>
              <w:rPr>
                <w:rFonts w:hint="eastAsia"/>
              </w:rPr>
              <w:t>2.服务品牌建设期应持续三年以上。</w:t>
            </w:r>
          </w:p>
          <w:p>
            <w:r>
              <w:t>3</w:t>
            </w:r>
            <w:r>
              <w:rPr>
                <w:rFonts w:hint="eastAsia"/>
              </w:rPr>
              <w:t>.提供每项服务品牌证明材料，指明服务品牌数量。</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B1184</w:t>
            </w:r>
          </w:p>
        </w:tc>
        <w:tc>
          <w:tcPr>
            <w:tcW w:w="850" w:type="dxa"/>
          </w:tcPr>
          <w:p>
            <w:r>
              <w:t>1.8.1</w:t>
            </w:r>
          </w:p>
        </w:tc>
        <w:tc>
          <w:tcPr>
            <w:tcW w:w="1276" w:type="dxa"/>
          </w:tcPr>
          <w:p>
            <w:r>
              <w:rPr>
                <w:rFonts w:hint="eastAsia"/>
              </w:rPr>
              <w:t>读者意见处理与日常评价</w:t>
            </w:r>
          </w:p>
        </w:tc>
        <w:tc>
          <w:tcPr>
            <w:tcW w:w="3260" w:type="dxa"/>
          </w:tcPr>
          <w:p>
            <w:r>
              <w:rPr>
                <w:rFonts w:hint="eastAsia"/>
              </w:rPr>
              <w:t>主要考察图书馆是否有读者反映意见的渠道，如馆内读者意见箱、读者意见簿、网站读者意见邮箱等，以及图书馆回复是否及时。</w:t>
            </w:r>
          </w:p>
        </w:tc>
        <w:tc>
          <w:tcPr>
            <w:tcW w:w="2147" w:type="dxa"/>
          </w:tcPr>
          <w:p>
            <w:r>
              <w:rPr>
                <w:rFonts w:hint="eastAsia"/>
              </w:rPr>
              <w:t>如抽查发现平均回复时间超过一周，酌情扣分。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B118</w:t>
            </w:r>
            <w:r>
              <w:t>5</w:t>
            </w:r>
          </w:p>
        </w:tc>
        <w:tc>
          <w:tcPr>
            <w:tcW w:w="850" w:type="dxa"/>
          </w:tcPr>
          <w:p>
            <w:r>
              <w:t>1.8.2</w:t>
            </w:r>
          </w:p>
        </w:tc>
        <w:tc>
          <w:tcPr>
            <w:tcW w:w="1276" w:type="dxa"/>
          </w:tcPr>
          <w:p>
            <w:r>
              <w:rPr>
                <w:rFonts w:hint="eastAsia"/>
              </w:rPr>
              <w:t>读者满意率</w:t>
            </w:r>
          </w:p>
          <w:p>
            <w:r>
              <w:rPr>
                <w:rFonts w:hint="eastAsia"/>
              </w:rPr>
              <w:t>（%）</w:t>
            </w:r>
          </w:p>
        </w:tc>
        <w:tc>
          <w:tcPr>
            <w:tcW w:w="3260" w:type="dxa"/>
          </w:tcPr>
          <w:p>
            <w:r>
              <w:rPr>
                <w:rFonts w:hint="eastAsia"/>
              </w:rPr>
              <w:t>评估组在评估期间按照统一的读者满意率调查表，就图书馆的设施设备、馆藏资源、服务内容、服务质量及员工素质等情况征求读者意见。</w:t>
            </w:r>
            <w:r>
              <w:t xml:space="preserve"> </w:t>
            </w:r>
          </w:p>
        </w:tc>
        <w:tc>
          <w:tcPr>
            <w:tcW w:w="2147" w:type="dxa"/>
          </w:tcPr>
          <w:p>
            <w:r>
              <w:rPr>
                <w:rFonts w:hint="eastAsia"/>
              </w:rPr>
              <w:t>调查表在互联网环境下发放，回收数量不低于400份，满意率低于60%，0分。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2187</w:t>
            </w:r>
          </w:p>
        </w:tc>
        <w:tc>
          <w:tcPr>
            <w:tcW w:w="850" w:type="dxa"/>
          </w:tcPr>
          <w:p>
            <w:r>
              <w:t>2.1.1</w:t>
            </w:r>
          </w:p>
        </w:tc>
        <w:tc>
          <w:tcPr>
            <w:tcW w:w="1276" w:type="dxa"/>
          </w:tcPr>
          <w:p>
            <w:r>
              <w:rPr>
                <w:rFonts w:hint="eastAsia"/>
              </w:rPr>
              <w:t>馆藏发展政策</w:t>
            </w:r>
          </w:p>
        </w:tc>
        <w:tc>
          <w:tcPr>
            <w:tcW w:w="3260" w:type="dxa"/>
          </w:tcPr>
          <w:p>
            <w:r>
              <w:rPr>
                <w:rFonts w:hint="eastAsia"/>
              </w:rPr>
              <w:t>1.提供“馆藏发展政策”文本。</w:t>
            </w:r>
          </w:p>
          <w:p>
            <w:r>
              <w:rPr>
                <w:rFonts w:hint="eastAsia"/>
              </w:rPr>
              <w:t>2.各类文献包含馆藏资源与虚拟馆藏资源。</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2188</w:t>
            </w:r>
          </w:p>
        </w:tc>
        <w:tc>
          <w:tcPr>
            <w:tcW w:w="850" w:type="dxa"/>
          </w:tcPr>
          <w:p>
            <w:r>
              <w:t>2.1.2</w:t>
            </w:r>
          </w:p>
        </w:tc>
        <w:tc>
          <w:tcPr>
            <w:tcW w:w="1276" w:type="dxa"/>
          </w:tcPr>
          <w:p>
            <w:r>
              <w:rPr>
                <w:rFonts w:hint="eastAsia"/>
              </w:rPr>
              <w:t>馆藏专项规划</w:t>
            </w:r>
          </w:p>
        </w:tc>
        <w:tc>
          <w:tcPr>
            <w:tcW w:w="3260" w:type="dxa"/>
          </w:tcPr>
          <w:p>
            <w:r>
              <w:rPr>
                <w:rFonts w:hint="eastAsia"/>
              </w:rPr>
              <w:t>含有关数字资源、地方文献等方面的专项规划。</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2189</w:t>
            </w:r>
          </w:p>
        </w:tc>
        <w:tc>
          <w:tcPr>
            <w:tcW w:w="850" w:type="dxa"/>
          </w:tcPr>
          <w:p>
            <w:r>
              <w:t>2.1.3</w:t>
            </w:r>
          </w:p>
        </w:tc>
        <w:tc>
          <w:tcPr>
            <w:tcW w:w="1276" w:type="dxa"/>
          </w:tcPr>
          <w:p>
            <w:r>
              <w:rPr>
                <w:rFonts w:hint="eastAsia"/>
              </w:rPr>
              <w:t>馆藏发展政策执行情况</w:t>
            </w:r>
          </w:p>
        </w:tc>
        <w:tc>
          <w:tcPr>
            <w:tcW w:w="3260" w:type="dxa"/>
          </w:tcPr>
          <w:p>
            <w:r>
              <w:rPr>
                <w:rFonts w:hint="eastAsia"/>
              </w:rPr>
              <w:t>提供采访条例、采访目录和评估期各年度采访工作总结。</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2191</w:t>
            </w:r>
          </w:p>
        </w:tc>
        <w:tc>
          <w:tcPr>
            <w:tcW w:w="850" w:type="dxa"/>
          </w:tcPr>
          <w:p>
            <w:r>
              <w:t>2.2.1</w:t>
            </w:r>
          </w:p>
        </w:tc>
        <w:tc>
          <w:tcPr>
            <w:tcW w:w="1276" w:type="dxa"/>
          </w:tcPr>
          <w:p>
            <w:r>
              <w:rPr>
                <w:rFonts w:hint="eastAsia"/>
              </w:rPr>
              <w:t>文献编目标准化</w:t>
            </w:r>
          </w:p>
        </w:tc>
        <w:tc>
          <w:tcPr>
            <w:tcW w:w="3260" w:type="dxa"/>
          </w:tcPr>
          <w:p>
            <w:r>
              <w:rPr>
                <w:rFonts w:hint="eastAsia"/>
              </w:rPr>
              <w:t>依据有关国家标准和行业标准进行编目；使用《中国图书馆分类法》进行分类标准；使用汉语主题词表进行主题标引。</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2193</w:t>
            </w:r>
          </w:p>
        </w:tc>
        <w:tc>
          <w:tcPr>
            <w:tcW w:w="850" w:type="dxa"/>
          </w:tcPr>
          <w:p>
            <w:r>
              <w:t>2.2.3</w:t>
            </w:r>
          </w:p>
        </w:tc>
        <w:tc>
          <w:tcPr>
            <w:tcW w:w="1276" w:type="dxa"/>
          </w:tcPr>
          <w:p>
            <w:r>
              <w:rPr>
                <w:rFonts w:hint="eastAsia"/>
              </w:rPr>
              <w:t>编目文献占比（%）</w:t>
            </w:r>
          </w:p>
        </w:tc>
        <w:tc>
          <w:tcPr>
            <w:tcW w:w="3260" w:type="dxa"/>
          </w:tcPr>
          <w:p>
            <w:r>
              <w:rPr>
                <w:rFonts w:hint="eastAsia"/>
              </w:rPr>
              <w:t xml:space="preserve">含卡片式、书本式、机读式编目。  </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B2196</w:t>
            </w:r>
          </w:p>
        </w:tc>
        <w:tc>
          <w:tcPr>
            <w:tcW w:w="850" w:type="dxa"/>
          </w:tcPr>
          <w:p>
            <w:r>
              <w:t>2.2.6</w:t>
            </w:r>
          </w:p>
        </w:tc>
        <w:tc>
          <w:tcPr>
            <w:tcW w:w="1276" w:type="dxa"/>
          </w:tcPr>
          <w:p>
            <w:r>
              <w:rPr>
                <w:rFonts w:hint="eastAsia"/>
              </w:rPr>
              <w:t>文献保护</w:t>
            </w:r>
          </w:p>
        </w:tc>
        <w:tc>
          <w:tcPr>
            <w:tcW w:w="3260" w:type="dxa"/>
          </w:tcPr>
          <w:p>
            <w:r>
              <w:rPr>
                <w:rFonts w:hint="eastAsia"/>
              </w:rPr>
              <w:t>古籍与特藏指古籍文献及地方文献、民国文献及其他各种特藏。古籍与特藏书库达标标准依据文化部行业标准《图书馆古籍特藏书库基本要求》（WH\T24-2006）。</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B2197</w:t>
            </w:r>
          </w:p>
        </w:tc>
        <w:tc>
          <w:tcPr>
            <w:tcW w:w="850" w:type="dxa"/>
          </w:tcPr>
          <w:p>
            <w:r>
              <w:t>2.2.7</w:t>
            </w:r>
          </w:p>
        </w:tc>
        <w:tc>
          <w:tcPr>
            <w:tcW w:w="1276" w:type="dxa"/>
          </w:tcPr>
          <w:p>
            <w:r>
              <w:rPr>
                <w:rFonts w:hint="eastAsia"/>
              </w:rPr>
              <w:t>新技术应用</w:t>
            </w:r>
          </w:p>
        </w:tc>
        <w:tc>
          <w:tcPr>
            <w:tcW w:w="3260" w:type="dxa"/>
          </w:tcPr>
          <w:p>
            <w:r>
              <w:rPr>
                <w:rFonts w:hint="eastAsia"/>
              </w:rPr>
              <w:t>1.利用数字化技术实现智能图书上架如采用RFID技术。</w:t>
            </w:r>
          </w:p>
          <w:p>
            <w:r>
              <w:rPr>
                <w:rFonts w:hint="eastAsia"/>
              </w:rPr>
              <w:t>2</w:t>
            </w:r>
            <w:r>
              <w:t>.</w:t>
            </w:r>
            <w:r>
              <w:rPr>
                <w:rFonts w:hint="eastAsia"/>
              </w:rPr>
              <w:t>自助</w:t>
            </w:r>
            <w:r>
              <w:t>借还指有自助借还设备</w:t>
            </w:r>
            <w:r>
              <w:rPr>
                <w:rFonts w:hint="eastAsia"/>
              </w:rPr>
              <w:t>，</w:t>
            </w:r>
            <w:r>
              <w:t>加</w:t>
            </w:r>
            <w:r>
              <w:rPr>
                <w:rFonts w:hint="eastAsia"/>
              </w:rPr>
              <w:t>0.5；有24小时</w:t>
            </w:r>
            <w:r>
              <w:t>自助图书馆</w:t>
            </w:r>
            <w:r>
              <w:rPr>
                <w:rFonts w:hint="eastAsia"/>
              </w:rPr>
              <w:t>，加1.5分。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w:t>
            </w:r>
            <w:r>
              <w:t>2199</w:t>
            </w:r>
          </w:p>
        </w:tc>
        <w:tc>
          <w:tcPr>
            <w:tcW w:w="850" w:type="dxa"/>
          </w:tcPr>
          <w:p>
            <w:r>
              <w:t>2.3.1</w:t>
            </w:r>
          </w:p>
        </w:tc>
        <w:tc>
          <w:tcPr>
            <w:tcW w:w="1276" w:type="dxa"/>
          </w:tcPr>
          <w:p>
            <w:r>
              <w:rPr>
                <w:rFonts w:hint="eastAsia"/>
              </w:rPr>
              <w:t>数字资源本地存储量（TB）</w:t>
            </w:r>
          </w:p>
        </w:tc>
        <w:tc>
          <w:tcPr>
            <w:tcW w:w="3260" w:type="dxa"/>
          </w:tcPr>
          <w:p>
            <w:r>
              <w:rPr>
                <w:rFonts w:hint="eastAsia"/>
              </w:rPr>
              <w:t>含有关数字文化工程资源量。含自建和外购并储存在本地的数字资源量。</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w:t>
            </w:r>
            <w:r>
              <w:t>2</w:t>
            </w:r>
            <w:r>
              <w:rPr>
                <w:rFonts w:hint="eastAsia"/>
              </w:rPr>
              <w:t>00</w:t>
            </w:r>
          </w:p>
        </w:tc>
        <w:tc>
          <w:tcPr>
            <w:tcW w:w="850" w:type="dxa"/>
          </w:tcPr>
          <w:p>
            <w:r>
              <w:t>2.3.2</w:t>
            </w:r>
          </w:p>
        </w:tc>
        <w:tc>
          <w:tcPr>
            <w:tcW w:w="1276" w:type="dxa"/>
          </w:tcPr>
          <w:p>
            <w:pPr>
              <w:jc w:val="left"/>
            </w:pPr>
            <w:r>
              <w:rPr>
                <w:rFonts w:hint="eastAsia"/>
              </w:rPr>
              <w:t>自建数字资源总量（TB）</w:t>
            </w:r>
          </w:p>
        </w:tc>
        <w:tc>
          <w:tcPr>
            <w:tcW w:w="3260" w:type="dxa"/>
          </w:tcPr>
          <w:p>
            <w:r>
              <w:rPr>
                <w:rFonts w:hint="eastAsia"/>
              </w:rPr>
              <w:t>自建数字资源出版要求有电子出版物正式出版号。</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w:t>
            </w:r>
            <w:r>
              <w:t>2</w:t>
            </w:r>
            <w:r>
              <w:rPr>
                <w:rFonts w:hint="eastAsia"/>
              </w:rPr>
              <w:t>0</w:t>
            </w:r>
            <w:r>
              <w:t>3</w:t>
            </w:r>
          </w:p>
        </w:tc>
        <w:tc>
          <w:tcPr>
            <w:tcW w:w="850" w:type="dxa"/>
          </w:tcPr>
          <w:p>
            <w:r>
              <w:t>2.4.2</w:t>
            </w:r>
          </w:p>
        </w:tc>
        <w:tc>
          <w:tcPr>
            <w:tcW w:w="1276" w:type="dxa"/>
          </w:tcPr>
          <w:p>
            <w:r>
              <w:rPr>
                <w:rFonts w:hint="eastAsia"/>
              </w:rPr>
              <w:t>地方文献入藏</w:t>
            </w:r>
          </w:p>
        </w:tc>
        <w:tc>
          <w:tcPr>
            <w:tcW w:w="3260" w:type="dxa"/>
          </w:tcPr>
          <w:p>
            <w:r>
              <w:rPr>
                <w:rFonts w:hint="eastAsia"/>
              </w:rPr>
              <w:t>提供本馆地方文献目录。</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B2207</w:t>
            </w:r>
          </w:p>
        </w:tc>
        <w:tc>
          <w:tcPr>
            <w:tcW w:w="850" w:type="dxa"/>
          </w:tcPr>
          <w:p>
            <w:r>
              <w:t>2.5.2</w:t>
            </w:r>
          </w:p>
        </w:tc>
        <w:tc>
          <w:tcPr>
            <w:tcW w:w="1276" w:type="dxa"/>
          </w:tcPr>
          <w:p>
            <w:r>
              <w:rPr>
                <w:rFonts w:hint="eastAsia"/>
              </w:rPr>
              <w:t>总分馆建设</w:t>
            </w:r>
          </w:p>
          <w:p>
            <w:r>
              <w:rPr>
                <w:rFonts w:hint="eastAsia"/>
              </w:rPr>
              <w:t>（%）</w:t>
            </w:r>
          </w:p>
        </w:tc>
        <w:tc>
          <w:tcPr>
            <w:tcW w:w="3260" w:type="dxa"/>
          </w:tcPr>
          <w:p>
            <w:r>
              <w:rPr>
                <w:rFonts w:hint="eastAsia"/>
              </w:rPr>
              <w:t>1.直属分馆指由总馆统一配送文献资源、统一服务、统一人财物管理，并实行一卡通通借通还的图书馆。</w:t>
            </w:r>
          </w:p>
          <w:p>
            <w:r>
              <w:rPr>
                <w:rFonts w:hint="eastAsia"/>
              </w:rPr>
              <w:t>2.地市级总分馆只计算所辖区（县）的数量，不计算区或县以下的数量。</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w:t>
            </w:r>
            <w:r>
              <w:t>2</w:t>
            </w:r>
            <w:r>
              <w:rPr>
                <w:rFonts w:hint="eastAsia"/>
              </w:rPr>
              <w:t>0</w:t>
            </w:r>
            <w:r>
              <w:t>8</w:t>
            </w:r>
          </w:p>
        </w:tc>
        <w:tc>
          <w:tcPr>
            <w:tcW w:w="850" w:type="dxa"/>
          </w:tcPr>
          <w:p>
            <w:r>
              <w:t>2.5.3</w:t>
            </w:r>
          </w:p>
        </w:tc>
        <w:tc>
          <w:tcPr>
            <w:tcW w:w="1276" w:type="dxa"/>
          </w:tcPr>
          <w:p>
            <w:r>
              <w:rPr>
                <w:rFonts w:hint="eastAsia"/>
              </w:rPr>
              <w:t>总分馆服务效能</w:t>
            </w:r>
          </w:p>
        </w:tc>
        <w:tc>
          <w:tcPr>
            <w:tcW w:w="3260" w:type="dxa"/>
          </w:tcPr>
          <w:p>
            <w:r>
              <w:rPr>
                <w:rFonts w:hint="eastAsia"/>
              </w:rPr>
              <w:t>着重考查分馆运行是否正常，分馆发挥作用，以及读者利用情况。</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B2209</w:t>
            </w:r>
          </w:p>
        </w:tc>
        <w:tc>
          <w:tcPr>
            <w:tcW w:w="850" w:type="dxa"/>
          </w:tcPr>
          <w:p>
            <w:r>
              <w:t>2.5.4</w:t>
            </w:r>
          </w:p>
        </w:tc>
        <w:tc>
          <w:tcPr>
            <w:tcW w:w="1276" w:type="dxa"/>
          </w:tcPr>
          <w:p>
            <w:r>
              <w:rPr>
                <w:rFonts w:hint="eastAsia"/>
              </w:rPr>
              <w:t>公共图书馆</w:t>
            </w:r>
          </w:p>
          <w:p>
            <w:r>
              <w:rPr>
                <w:rFonts w:hint="eastAsia"/>
              </w:rPr>
              <w:t>服务网点建设</w:t>
            </w:r>
          </w:p>
        </w:tc>
        <w:tc>
          <w:tcPr>
            <w:tcW w:w="3260" w:type="dxa"/>
          </w:tcPr>
          <w:p>
            <w:r>
              <w:rPr>
                <w:rFonts w:hint="eastAsia"/>
              </w:rPr>
              <w:t>1.服务网点指总分馆以外的其他服务点，如流动图书车、馆外24小时自助图书馆、未纳入分馆系统的借阅点等。</w:t>
            </w:r>
          </w:p>
          <w:p>
            <w:r>
              <w:rPr>
                <w:rFonts w:hint="eastAsia"/>
              </w:rPr>
              <w:t>2.网点建设在区域内布置合理，5分；运行经常化并取得实效，5分。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B2211</w:t>
            </w:r>
          </w:p>
        </w:tc>
        <w:tc>
          <w:tcPr>
            <w:tcW w:w="850" w:type="dxa"/>
          </w:tcPr>
          <w:p>
            <w:r>
              <w:t>2.6.1</w:t>
            </w:r>
          </w:p>
        </w:tc>
        <w:tc>
          <w:tcPr>
            <w:tcW w:w="1276" w:type="dxa"/>
          </w:tcPr>
          <w:p>
            <w:r>
              <w:rPr>
                <w:rFonts w:hint="eastAsia"/>
              </w:rPr>
              <w:t>主持联盟或主持跨地方、跨系统的图书馆协作协调工作</w:t>
            </w:r>
          </w:p>
        </w:tc>
        <w:tc>
          <w:tcPr>
            <w:tcW w:w="3260" w:type="dxa"/>
          </w:tcPr>
          <w:p>
            <w:r>
              <w:rPr>
                <w:rFonts w:hint="eastAsia"/>
              </w:rPr>
              <w:t>跨市或跨系统联盟中，参加的地级市或系统须在三个或三个以上</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B2213</w:t>
            </w:r>
          </w:p>
        </w:tc>
        <w:tc>
          <w:tcPr>
            <w:tcW w:w="850" w:type="dxa"/>
          </w:tcPr>
          <w:p>
            <w:r>
              <w:t>2.6.3</w:t>
            </w:r>
          </w:p>
        </w:tc>
        <w:tc>
          <w:tcPr>
            <w:tcW w:w="1276" w:type="dxa"/>
          </w:tcPr>
          <w:p>
            <w:r>
              <w:rPr>
                <w:rFonts w:hint="eastAsia"/>
              </w:rPr>
              <w:t>社会合作</w:t>
            </w:r>
          </w:p>
        </w:tc>
        <w:tc>
          <w:tcPr>
            <w:tcW w:w="3260" w:type="dxa"/>
          </w:tcPr>
          <w:p>
            <w:r>
              <w:rPr>
                <w:rFonts w:hint="eastAsia"/>
              </w:rPr>
              <w:t>资源合作主要考察图书馆与社会机构是否在资源上有合作并有显著成效，如联合制作文献、联合建数据库、资源协调采购等；合作平台主要考察图书馆与社会机构是否建立长期合作关系并有显著成效，如共建联盟、共同参与社会服务等。</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B221</w:t>
            </w:r>
            <w:r>
              <w:t>9</w:t>
            </w:r>
          </w:p>
        </w:tc>
        <w:tc>
          <w:tcPr>
            <w:tcW w:w="850" w:type="dxa"/>
          </w:tcPr>
          <w:p>
            <w:r>
              <w:t>2.8.1</w:t>
            </w:r>
          </w:p>
        </w:tc>
        <w:tc>
          <w:tcPr>
            <w:tcW w:w="1276" w:type="dxa"/>
          </w:tcPr>
          <w:p>
            <w:r>
              <w:rPr>
                <w:rFonts w:hint="eastAsia"/>
              </w:rPr>
              <w:t>基层业务辅导与培训</w:t>
            </w:r>
          </w:p>
        </w:tc>
        <w:tc>
          <w:tcPr>
            <w:tcW w:w="3260" w:type="dxa"/>
          </w:tcPr>
          <w:p>
            <w:r>
              <w:rPr>
                <w:rFonts w:hint="eastAsia"/>
              </w:rPr>
              <w:t>1.业务辅导活动的数量应不少于12次。</w:t>
            </w:r>
          </w:p>
          <w:p>
            <w:r>
              <w:rPr>
                <w:rFonts w:hint="eastAsia"/>
              </w:rPr>
              <w:t>2.提供辅导工作报告、工作记录及有关基层馆材料。</w:t>
            </w:r>
          </w:p>
          <w:p>
            <w:r>
              <w:rPr>
                <w:rFonts w:hint="eastAsia"/>
              </w:rPr>
              <w:t>3.对本地区图书馆事业建设的工作报告，要求主题明确，有事实、有数据、有分析和建议，不少于3000字。</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22</w:t>
            </w:r>
          </w:p>
        </w:tc>
        <w:tc>
          <w:tcPr>
            <w:tcW w:w="850" w:type="dxa"/>
          </w:tcPr>
          <w:p>
            <w:r>
              <w:t>2.9.1</w:t>
            </w:r>
          </w:p>
        </w:tc>
        <w:tc>
          <w:tcPr>
            <w:tcW w:w="1276" w:type="dxa"/>
          </w:tcPr>
          <w:p>
            <w:r>
              <w:rPr>
                <w:rFonts w:hint="eastAsia"/>
              </w:rPr>
              <w:t>年度计划和年报</w:t>
            </w:r>
          </w:p>
        </w:tc>
        <w:tc>
          <w:tcPr>
            <w:tcW w:w="3260" w:type="dxa"/>
          </w:tcPr>
          <w:p>
            <w:r>
              <w:rPr>
                <w:rFonts w:hint="eastAsia"/>
              </w:rPr>
              <w:t>提供评估期各年年度计划和年报（纸质版或电子版）和网站发布地址及实施证明材料。</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23</w:t>
            </w:r>
          </w:p>
        </w:tc>
        <w:tc>
          <w:tcPr>
            <w:tcW w:w="850" w:type="dxa"/>
          </w:tcPr>
          <w:p>
            <w:r>
              <w:t>2.9.2</w:t>
            </w:r>
          </w:p>
        </w:tc>
        <w:tc>
          <w:tcPr>
            <w:tcW w:w="1276" w:type="dxa"/>
          </w:tcPr>
          <w:p>
            <w:r>
              <w:rPr>
                <w:rFonts w:hint="eastAsia"/>
              </w:rPr>
              <w:t>岗位管理</w:t>
            </w:r>
          </w:p>
        </w:tc>
        <w:tc>
          <w:tcPr>
            <w:tcW w:w="3260" w:type="dxa"/>
          </w:tcPr>
          <w:p>
            <w:r>
              <w:rPr>
                <w:rFonts w:hint="eastAsia"/>
              </w:rPr>
              <w:t>提供全馆岗位设置、目标管理、职工考核等相关材料。</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B2224</w:t>
            </w:r>
          </w:p>
        </w:tc>
        <w:tc>
          <w:tcPr>
            <w:tcW w:w="850" w:type="dxa"/>
          </w:tcPr>
          <w:p>
            <w:r>
              <w:rPr>
                <w:rFonts w:hint="eastAsia"/>
              </w:rPr>
              <w:t>2.9.3</w:t>
            </w:r>
          </w:p>
        </w:tc>
        <w:tc>
          <w:tcPr>
            <w:tcW w:w="1276" w:type="dxa"/>
          </w:tcPr>
          <w:p>
            <w:pPr>
              <w:jc w:val="left"/>
            </w:pPr>
            <w:r>
              <w:rPr>
                <w:rFonts w:hint="eastAsia"/>
              </w:rPr>
              <w:t>年员工人均教育培训（学时）</w:t>
            </w:r>
          </w:p>
        </w:tc>
        <w:tc>
          <w:tcPr>
            <w:tcW w:w="3260" w:type="dxa"/>
          </w:tcPr>
          <w:p>
            <w:r>
              <w:rPr>
                <w:rFonts w:hint="eastAsia"/>
              </w:rPr>
              <w:t>1.含在职学历教育和各类业务培训。包括脱产学习与业余学习。</w:t>
            </w:r>
          </w:p>
          <w:p>
            <w:r>
              <w:rPr>
                <w:rFonts w:hint="eastAsia"/>
              </w:rPr>
              <w:t>2.提供评估期各年度继续教育培训计划、课程安排和参加学历教育、各类培训的人员名单及学时证明（原始材料）。</w:t>
            </w:r>
          </w:p>
          <w:p>
            <w:r>
              <w:rPr>
                <w:rFonts w:hint="eastAsia"/>
              </w:rPr>
              <w:t>3.评估2015年之后的员工年人均教育培训（学时），含业余培训。</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28</w:t>
            </w:r>
          </w:p>
        </w:tc>
        <w:tc>
          <w:tcPr>
            <w:tcW w:w="850" w:type="dxa"/>
          </w:tcPr>
          <w:p>
            <w:r>
              <w:t>2.10.2</w:t>
            </w:r>
          </w:p>
        </w:tc>
        <w:tc>
          <w:tcPr>
            <w:tcW w:w="1276" w:type="dxa"/>
          </w:tcPr>
          <w:p>
            <w:r>
              <w:rPr>
                <w:rFonts w:hint="eastAsia"/>
              </w:rPr>
              <w:t>国有资产管理</w:t>
            </w:r>
          </w:p>
        </w:tc>
        <w:tc>
          <w:tcPr>
            <w:tcW w:w="3260" w:type="dxa"/>
          </w:tcPr>
          <w:p>
            <w:r>
              <w:rPr>
                <w:rFonts w:hint="eastAsia"/>
              </w:rPr>
              <w:t>主要考查设备、物资管理工作制度与实施情况，固有资产管理情况。</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29</w:t>
            </w:r>
          </w:p>
        </w:tc>
        <w:tc>
          <w:tcPr>
            <w:tcW w:w="850" w:type="dxa"/>
          </w:tcPr>
          <w:p>
            <w:r>
              <w:t>2.10.3</w:t>
            </w:r>
          </w:p>
        </w:tc>
        <w:tc>
          <w:tcPr>
            <w:tcW w:w="1276" w:type="dxa"/>
          </w:tcPr>
          <w:p>
            <w:r>
              <w:rPr>
                <w:rFonts w:hint="eastAsia"/>
              </w:rPr>
              <w:t>档案管理</w:t>
            </w:r>
          </w:p>
        </w:tc>
        <w:tc>
          <w:tcPr>
            <w:tcW w:w="3260" w:type="dxa"/>
          </w:tcPr>
          <w:p>
            <w:r>
              <w:rPr>
                <w:rFonts w:hint="eastAsia"/>
              </w:rPr>
              <w:t>1.行政档案重点考查人事档案、职工考核、财务档案、建筑设施设备档案、馆史档案、工程项目档案等方面。</w:t>
            </w:r>
          </w:p>
          <w:p>
            <w:r>
              <w:rPr>
                <w:rFonts w:hint="eastAsia"/>
              </w:rPr>
              <w:t>2.业务档案重点考查业务制度档案、读者活动档案、参考咨询档案和业务辅导档案等。</w:t>
            </w:r>
          </w:p>
          <w:p>
            <w:r>
              <w:rPr>
                <w:rFonts w:hint="eastAsia"/>
              </w:rPr>
              <w:t>3.要求档案健全，资料详实，归档及时，有卷宗，有档案目录。</w:t>
            </w:r>
          </w:p>
          <w:p>
            <w:r>
              <w:rPr>
                <w:rFonts w:hint="eastAsia"/>
              </w:rPr>
              <w:t>4.要求建立电子档案。</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31</w:t>
            </w:r>
          </w:p>
        </w:tc>
        <w:tc>
          <w:tcPr>
            <w:tcW w:w="850" w:type="dxa"/>
          </w:tcPr>
          <w:p>
            <w:r>
              <w:t>2.11.1</w:t>
            </w:r>
          </w:p>
        </w:tc>
        <w:tc>
          <w:tcPr>
            <w:tcW w:w="1276" w:type="dxa"/>
          </w:tcPr>
          <w:p>
            <w:r>
              <w:rPr>
                <w:rFonts w:hint="eastAsia"/>
              </w:rPr>
              <w:t>安全管理</w:t>
            </w:r>
          </w:p>
        </w:tc>
        <w:tc>
          <w:tcPr>
            <w:tcW w:w="3260" w:type="dxa"/>
          </w:tcPr>
          <w:p>
            <w:r>
              <w:rPr>
                <w:rFonts w:hint="eastAsia"/>
              </w:rPr>
              <w:t>要求提供当地公安、消防部门出具的消防合格材料。</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w:t>
            </w:r>
            <w:r>
              <w:t>32</w:t>
            </w:r>
          </w:p>
        </w:tc>
        <w:tc>
          <w:tcPr>
            <w:tcW w:w="850" w:type="dxa"/>
          </w:tcPr>
          <w:p>
            <w:r>
              <w:t>2.11.2</w:t>
            </w:r>
          </w:p>
        </w:tc>
        <w:tc>
          <w:tcPr>
            <w:tcW w:w="1276" w:type="dxa"/>
          </w:tcPr>
          <w:p>
            <w:r>
              <w:rPr>
                <w:rFonts w:hint="eastAsia"/>
              </w:rPr>
              <w:t>环境管理</w:t>
            </w:r>
          </w:p>
        </w:tc>
        <w:tc>
          <w:tcPr>
            <w:tcW w:w="3260" w:type="dxa"/>
          </w:tcPr>
          <w:p>
            <w:r>
              <w:rPr>
                <w:rFonts w:hint="eastAsia"/>
              </w:rPr>
              <w:t>考查阅读学习设施配备及维护情况。</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B223</w:t>
            </w:r>
            <w:r>
              <w:t>4</w:t>
            </w:r>
          </w:p>
        </w:tc>
        <w:tc>
          <w:tcPr>
            <w:tcW w:w="850" w:type="dxa"/>
          </w:tcPr>
          <w:p>
            <w:r>
              <w:t>2.12.1</w:t>
            </w:r>
          </w:p>
        </w:tc>
        <w:tc>
          <w:tcPr>
            <w:tcW w:w="1276" w:type="dxa"/>
          </w:tcPr>
          <w:p>
            <w:r>
              <w:rPr>
                <w:rFonts w:hint="eastAsia"/>
              </w:rPr>
              <w:t>业务统计与分析</w:t>
            </w:r>
          </w:p>
        </w:tc>
        <w:tc>
          <w:tcPr>
            <w:tcW w:w="3260" w:type="dxa"/>
          </w:tcPr>
          <w:p>
            <w:r>
              <w:rPr>
                <w:rFonts w:hint="eastAsia"/>
              </w:rPr>
              <w:t>根据中华人民共和国国家标准GB/T13191-2009/ISO2789:2006《信息文献 图书馆统计》。</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B2235</w:t>
            </w:r>
          </w:p>
        </w:tc>
        <w:tc>
          <w:tcPr>
            <w:tcW w:w="850" w:type="dxa"/>
          </w:tcPr>
          <w:p>
            <w:r>
              <w:t>2.12.2</w:t>
            </w:r>
          </w:p>
        </w:tc>
        <w:tc>
          <w:tcPr>
            <w:tcW w:w="1276" w:type="dxa"/>
          </w:tcPr>
          <w:p>
            <w:r>
              <w:rPr>
                <w:rFonts w:hint="eastAsia"/>
              </w:rPr>
              <w:t>图书馆宣传</w:t>
            </w:r>
          </w:p>
        </w:tc>
        <w:tc>
          <w:tcPr>
            <w:tcW w:w="3260" w:type="dxa"/>
          </w:tcPr>
          <w:p>
            <w:r>
              <w:rPr>
                <w:rFonts w:hint="eastAsia"/>
              </w:rPr>
              <w:t>1.宣传材料指各种载体的图书馆介绍、读者手册、图书馆宣传片等。有中文图书馆介绍和读者手册，少数民族地区还须有少数民族语言文本，1分；有专门制作的图书馆宣传音像片（视频网络版或光盘版），1分。</w:t>
            </w:r>
          </w:p>
          <w:p>
            <w:r>
              <w:rPr>
                <w:rFonts w:hint="eastAsia"/>
              </w:rPr>
              <w:t>2.媒体宣传指原创性宣传报道篇数和次数，不包括转载篇数和次数。</w:t>
            </w:r>
          </w:p>
          <w:p>
            <w:r>
              <w:rPr>
                <w:rFonts w:hint="eastAsia"/>
              </w:rPr>
              <w:t>3.加分细则：媒体宣传数量达到年400篇次且其中不少于5篇次省级以上（含省级）媒体报道，加2分；媒体宣传数量达到年600篇次且其中不少于10篇次省级以上（含省级）媒体报道，加5分。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B2239</w:t>
            </w:r>
          </w:p>
        </w:tc>
        <w:tc>
          <w:tcPr>
            <w:tcW w:w="850" w:type="dxa"/>
          </w:tcPr>
          <w:p>
            <w:r>
              <w:t>2.13.2</w:t>
            </w:r>
          </w:p>
        </w:tc>
        <w:tc>
          <w:tcPr>
            <w:tcW w:w="1276" w:type="dxa"/>
          </w:tcPr>
          <w:p>
            <w:r>
              <w:rPr>
                <w:rFonts w:hint="eastAsia"/>
              </w:rPr>
              <w:t>馆内学术活动</w:t>
            </w:r>
          </w:p>
        </w:tc>
        <w:tc>
          <w:tcPr>
            <w:tcW w:w="3260" w:type="dxa"/>
          </w:tcPr>
          <w:p>
            <w:r>
              <w:rPr>
                <w:rFonts w:hint="eastAsia"/>
              </w:rPr>
              <w:t>1.学术研讨会指全馆组织召开的正式图书情报学术研讨会，不含部门召开的小型研讨会。</w:t>
            </w:r>
          </w:p>
          <w:p>
            <w:r>
              <w:rPr>
                <w:rFonts w:hint="eastAsia"/>
              </w:rPr>
              <w:t>2.研究报告指研究图书馆业务问题的专门报告，包括业务调查报告、业务咨询报告等，不包括已出版的著作和已发表的期刊论文。研究报告要求3000字以上，有鲜明主题和研究目标，有研究方法、数据和分析，有解决方案和建议。达到平均每年1篇研究报告，1分。</w:t>
            </w:r>
          </w:p>
        </w:tc>
        <w:tc>
          <w:tcPr>
            <w:tcW w:w="2147" w:type="dxa"/>
          </w:tcPr>
          <w:p>
            <w:r>
              <w:rPr>
                <w:rFonts w:hint="eastAsia"/>
              </w:rPr>
              <w:t>1.学术研讨会达到平均每年召开1次，1分，如研讨会流于形式，酌情扣分。</w:t>
            </w:r>
          </w:p>
          <w:p>
            <w:r>
              <w:t>2.</w:t>
            </w:r>
            <w:r>
              <w:rPr>
                <w:rFonts w:hint="eastAsia"/>
              </w:rPr>
              <w:t>如研究报告质量不合格，酌情扣分。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B2241</w:t>
            </w:r>
          </w:p>
        </w:tc>
        <w:tc>
          <w:tcPr>
            <w:tcW w:w="850" w:type="dxa"/>
          </w:tcPr>
          <w:p>
            <w:r>
              <w:rPr>
                <w:rFonts w:hint="eastAsia"/>
              </w:rPr>
              <w:t>2.13.4</w:t>
            </w:r>
          </w:p>
        </w:tc>
        <w:tc>
          <w:tcPr>
            <w:tcW w:w="1276" w:type="dxa"/>
          </w:tcPr>
          <w:p>
            <w:r>
              <w:rPr>
                <w:rFonts w:hint="eastAsia"/>
              </w:rPr>
              <w:t>年员工人均发表论文数量（篇）</w:t>
            </w:r>
          </w:p>
        </w:tc>
        <w:tc>
          <w:tcPr>
            <w:tcW w:w="3260" w:type="dxa"/>
          </w:tcPr>
          <w:p>
            <w:r>
              <w:rPr>
                <w:rFonts w:hint="eastAsia"/>
              </w:rPr>
              <w:t>1.刊物是指有ISSN号的连续出版物、含省级以上有内部资料准印证的图书馆专业期刊、有ISBN号或ISSN号的中国图书馆学会年会论文集和国际会议论文集等。</w:t>
            </w:r>
          </w:p>
          <w:p>
            <w:r>
              <w:rPr>
                <w:rFonts w:hint="eastAsia"/>
              </w:rPr>
              <w:t>2.论文内容必须与图书馆学、情报学、文献学等学科相关，与图书馆工作相关，字数不少于3000字。</w:t>
            </w:r>
          </w:p>
          <w:p>
            <w:r>
              <w:rPr>
                <w:rFonts w:hint="eastAsia"/>
              </w:rPr>
              <w:t>3.作者必须是在编员工，可设定独著100%，合著按前三名计算，第一名50%，第二名30</w:t>
            </w:r>
            <w:r>
              <w:t>%</w:t>
            </w:r>
            <w:r>
              <w:rPr>
                <w:rFonts w:hint="eastAsia"/>
              </w:rPr>
              <w:t>，第三名20</w:t>
            </w:r>
            <w:r>
              <w:t>%</w:t>
            </w:r>
            <w:r>
              <w:rPr>
                <w:rFonts w:hint="eastAsia"/>
              </w:rPr>
              <w:t>。</w:t>
            </w:r>
          </w:p>
          <w:p>
            <w:r>
              <w:rPr>
                <w:rFonts w:hint="eastAsia"/>
              </w:rPr>
              <w:t>4.不含通讯报道性文章。</w:t>
            </w:r>
          </w:p>
          <w:p>
            <w:r>
              <w:rPr>
                <w:rFonts w:hint="eastAsia"/>
              </w:rPr>
              <w:t>5.提供评估期各年数据。</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B2242</w:t>
            </w:r>
          </w:p>
        </w:tc>
        <w:tc>
          <w:tcPr>
            <w:tcW w:w="850" w:type="dxa"/>
          </w:tcPr>
          <w:p>
            <w:r>
              <w:t>2.13.5</w:t>
            </w:r>
          </w:p>
        </w:tc>
        <w:tc>
          <w:tcPr>
            <w:tcW w:w="1276" w:type="dxa"/>
          </w:tcPr>
          <w:p>
            <w:r>
              <w:rPr>
                <w:rFonts w:hint="eastAsia"/>
              </w:rPr>
              <w:t>科研项目</w:t>
            </w:r>
          </w:p>
        </w:tc>
        <w:tc>
          <w:tcPr>
            <w:tcW w:w="3260" w:type="dxa"/>
          </w:tcPr>
          <w:p>
            <w:r>
              <w:rPr>
                <w:rFonts w:hint="eastAsia"/>
              </w:rPr>
              <w:t>1.仅限评估期内获得的科研项目，评估期前获得的科研项目不计入。</w:t>
            </w:r>
          </w:p>
          <w:p>
            <w:r>
              <w:t>2.</w:t>
            </w:r>
            <w:r>
              <w:rPr>
                <w:rFonts w:hint="eastAsia"/>
              </w:rPr>
              <w:t>国家级科研项目包括国家社会科学基金项目、国家艺术规划项目、国家自然科学基金项目；省部级科研项目包括文化部科研项目、各省社会科学规划项目；厅局级科研项目包括各省社科联科研项目、文化厅科研项目等。</w:t>
            </w:r>
          </w:p>
          <w:p>
            <w:r>
              <w:t>3.</w:t>
            </w:r>
            <w:r>
              <w:rPr>
                <w:rFonts w:hint="eastAsia"/>
              </w:rPr>
              <w:t>全国性专业学会科研项目包括中国图书馆学会、中国科技情报学会、中国社会科学情报学会等国家级图书情报专业学会正式立项的科研项目，不含学会下二级专业委员会立项的项目。</w:t>
            </w:r>
          </w:p>
          <w:p>
            <w:r>
              <w:rPr>
                <w:rFonts w:hint="eastAsia"/>
              </w:rPr>
              <w:t>4.全国性行业组织科研项目包括全国图书馆标准化技术委员会、全国文献标准化技术委员会等正式立项的科研项目。</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B2243</w:t>
            </w:r>
          </w:p>
        </w:tc>
        <w:tc>
          <w:tcPr>
            <w:tcW w:w="850" w:type="dxa"/>
          </w:tcPr>
          <w:p>
            <w:r>
              <w:t>2.13.6</w:t>
            </w:r>
          </w:p>
        </w:tc>
        <w:tc>
          <w:tcPr>
            <w:tcW w:w="1276" w:type="dxa"/>
          </w:tcPr>
          <w:p>
            <w:r>
              <w:rPr>
                <w:rFonts w:hint="eastAsia"/>
              </w:rPr>
              <w:t>科研成果奖励</w:t>
            </w:r>
          </w:p>
        </w:tc>
        <w:tc>
          <w:tcPr>
            <w:tcW w:w="3260" w:type="dxa"/>
          </w:tcPr>
          <w:p>
            <w:r>
              <w:rPr>
                <w:rFonts w:hint="eastAsia"/>
              </w:rPr>
              <w:t>仅限评估期内获得的科研成果奖励，评估期前获得的科研成果奖励不计入。</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B224</w:t>
            </w:r>
            <w:r>
              <w:t>5</w:t>
            </w:r>
          </w:p>
        </w:tc>
        <w:tc>
          <w:tcPr>
            <w:tcW w:w="850" w:type="dxa"/>
          </w:tcPr>
          <w:p>
            <w:r>
              <w:t>2.14.1</w:t>
            </w:r>
          </w:p>
        </w:tc>
        <w:tc>
          <w:tcPr>
            <w:tcW w:w="1276" w:type="dxa"/>
          </w:tcPr>
          <w:p>
            <w:r>
              <w:rPr>
                <w:rFonts w:hint="eastAsia"/>
              </w:rPr>
              <w:t>使命、愿景与团队建设</w:t>
            </w:r>
          </w:p>
        </w:tc>
        <w:tc>
          <w:tcPr>
            <w:tcW w:w="3260" w:type="dxa"/>
          </w:tcPr>
          <w:p>
            <w:r>
              <w:rPr>
                <w:rFonts w:hint="eastAsia"/>
              </w:rPr>
              <w:t>关于使命、愿景：（1）须在图书馆网站和图书馆发展规划上显示，0.5分；（2）员工普遍知晓，0.5分。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B224</w:t>
            </w:r>
            <w:r>
              <w:t>6</w:t>
            </w:r>
          </w:p>
        </w:tc>
        <w:tc>
          <w:tcPr>
            <w:tcW w:w="850" w:type="dxa"/>
          </w:tcPr>
          <w:p>
            <w:r>
              <w:rPr>
                <w:rFonts w:hint="eastAsia"/>
              </w:rPr>
              <w:t>2.1</w:t>
            </w:r>
            <w:r>
              <w:t>4</w:t>
            </w:r>
            <w:r>
              <w:rPr>
                <w:rFonts w:hint="eastAsia"/>
              </w:rPr>
              <w:t>.2</w:t>
            </w:r>
          </w:p>
        </w:tc>
        <w:tc>
          <w:tcPr>
            <w:tcW w:w="1276" w:type="dxa"/>
          </w:tcPr>
          <w:p>
            <w:r>
              <w:rPr>
                <w:rFonts w:hint="eastAsia"/>
              </w:rPr>
              <w:t>荣誉体系建设</w:t>
            </w:r>
          </w:p>
        </w:tc>
        <w:tc>
          <w:tcPr>
            <w:tcW w:w="3260" w:type="dxa"/>
          </w:tcPr>
          <w:p>
            <w:r>
              <w:rPr>
                <w:rFonts w:hint="eastAsia"/>
              </w:rPr>
              <w:t>需提供有馆内荣誉体系设计、制度及其实施情况原始材料，重点考察是否成体系建设。</w:t>
            </w:r>
          </w:p>
        </w:tc>
        <w:tc>
          <w:tcPr>
            <w:tcW w:w="2147" w:type="dxa"/>
          </w:tcPr>
          <w:p>
            <w:r>
              <w:rPr>
                <w:rFonts w:hint="eastAsia"/>
              </w:rPr>
              <w:t>如只有工会奖励总结不给分。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B2</w:t>
            </w:r>
            <w:r>
              <w:t>250</w:t>
            </w:r>
          </w:p>
        </w:tc>
        <w:tc>
          <w:tcPr>
            <w:tcW w:w="850" w:type="dxa"/>
          </w:tcPr>
          <w:p>
            <w:r>
              <w:rPr>
                <w:rFonts w:hint="eastAsia"/>
              </w:rPr>
              <w:t>2.15.2</w:t>
            </w:r>
          </w:p>
        </w:tc>
        <w:tc>
          <w:tcPr>
            <w:tcW w:w="1276" w:type="dxa"/>
          </w:tcPr>
          <w:p>
            <w:r>
              <w:rPr>
                <w:rFonts w:hint="eastAsia"/>
              </w:rPr>
              <w:t>社会购买服务</w:t>
            </w:r>
          </w:p>
        </w:tc>
        <w:tc>
          <w:tcPr>
            <w:tcW w:w="3260" w:type="dxa"/>
          </w:tcPr>
          <w:p>
            <w:r>
              <w:t>社会购买服务具体内容：图书分编加工、图书上架整架、保洁、保安、维保等</w:t>
            </w:r>
            <w:r>
              <w:rPr>
                <w:rFonts w:hint="eastAsia"/>
              </w:rPr>
              <w:t>。</w:t>
            </w:r>
          </w:p>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B325</w:t>
            </w:r>
            <w:r>
              <w:t>7</w:t>
            </w:r>
          </w:p>
        </w:tc>
        <w:tc>
          <w:tcPr>
            <w:tcW w:w="850" w:type="dxa"/>
          </w:tcPr>
          <w:p>
            <w:r>
              <w:rPr>
                <w:rFonts w:hint="eastAsia"/>
              </w:rPr>
              <w:t>3.1.1</w:t>
            </w:r>
          </w:p>
        </w:tc>
        <w:tc>
          <w:tcPr>
            <w:tcW w:w="1276" w:type="dxa"/>
          </w:tcPr>
          <w:p>
            <w:r>
              <w:rPr>
                <w:rFonts w:hint="eastAsia"/>
              </w:rPr>
              <w:t>政策保障</w:t>
            </w:r>
          </w:p>
        </w:tc>
        <w:tc>
          <w:tcPr>
            <w:tcW w:w="3260" w:type="dxa"/>
          </w:tcPr>
          <w:p>
            <w:r>
              <w:rPr>
                <w:rFonts w:hint="eastAsia"/>
              </w:rPr>
              <w:t>按</w:t>
            </w:r>
            <w:r>
              <w:t>分项提供</w:t>
            </w:r>
            <w:r>
              <w:rPr>
                <w:rFonts w:hint="eastAsia"/>
              </w:rPr>
              <w:t>佐证</w:t>
            </w:r>
            <w:r>
              <w:t>材料</w:t>
            </w:r>
            <w:r>
              <w:rPr>
                <w:rFonts w:hint="eastAsia"/>
              </w:rPr>
              <w:t>，</w:t>
            </w:r>
            <w:r>
              <w:t>必须为原始材料</w:t>
            </w:r>
            <w:r>
              <w:rPr>
                <w:rFonts w:hint="eastAsia"/>
              </w:rPr>
              <w:t>。</w:t>
            </w:r>
            <w:r>
              <w:t xml:space="preserve"> </w:t>
            </w:r>
          </w:p>
        </w:tc>
        <w:tc>
          <w:tcPr>
            <w:tcW w:w="2147" w:type="dxa"/>
          </w:tcPr>
          <w:p>
            <w:r>
              <w:rPr>
                <w:rFonts w:hint="eastAsia"/>
              </w:rPr>
              <w:t>如提交</w:t>
            </w:r>
            <w:r>
              <w:t>的佐证材料中缺少原始</w:t>
            </w:r>
            <w:r>
              <w:rPr>
                <w:rFonts w:hint="eastAsia"/>
              </w:rPr>
              <w:t>材料</w:t>
            </w:r>
            <w:r>
              <w:t>，</w:t>
            </w:r>
            <w:r>
              <w:rPr>
                <w:rFonts w:hint="eastAsia"/>
              </w:rPr>
              <w:t>图书馆</w:t>
            </w:r>
            <w:r>
              <w:t>可</w:t>
            </w:r>
            <w:r>
              <w:rPr>
                <w:rFonts w:hint="eastAsia"/>
              </w:rPr>
              <w:t>提交</w:t>
            </w:r>
            <w:r>
              <w:t>相应说明，可酌情给分。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B3258</w:t>
            </w:r>
          </w:p>
        </w:tc>
        <w:tc>
          <w:tcPr>
            <w:tcW w:w="850" w:type="dxa"/>
          </w:tcPr>
          <w:p>
            <w:r>
              <w:t>3</w:t>
            </w:r>
            <w:r>
              <w:rPr>
                <w:rFonts w:hint="eastAsia"/>
              </w:rPr>
              <w:t>.1</w:t>
            </w:r>
            <w:r>
              <w:t>.2</w:t>
            </w:r>
          </w:p>
        </w:tc>
        <w:tc>
          <w:tcPr>
            <w:tcW w:w="1276" w:type="dxa"/>
          </w:tcPr>
          <w:p>
            <w:r>
              <w:rPr>
                <w:rFonts w:hint="eastAsia"/>
              </w:rPr>
              <w:t>法制保障</w:t>
            </w:r>
          </w:p>
        </w:tc>
        <w:tc>
          <w:tcPr>
            <w:tcW w:w="3260" w:type="dxa"/>
          </w:tcPr>
          <w:p>
            <w:r>
              <w:t>如没有专门公共图书馆条例</w:t>
            </w:r>
            <w:r>
              <w:rPr>
                <w:rFonts w:hint="eastAsia"/>
              </w:rPr>
              <w:t>，</w:t>
            </w:r>
            <w:r>
              <w:t>但有地方公共文化保障条例</w:t>
            </w:r>
            <w:r>
              <w:rPr>
                <w:rFonts w:hint="eastAsia"/>
              </w:rPr>
              <w:t>，</w:t>
            </w:r>
            <w:r>
              <w:t>其中有关图书馆条款较详细可得</w:t>
            </w:r>
            <w:r>
              <w:rPr>
                <w:rFonts w:hint="eastAsia"/>
              </w:rPr>
              <w:t>1分。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B3259</w:t>
            </w:r>
          </w:p>
        </w:tc>
        <w:tc>
          <w:tcPr>
            <w:tcW w:w="850" w:type="dxa"/>
          </w:tcPr>
          <w:p>
            <w:r>
              <w:t>3.1.3</w:t>
            </w:r>
          </w:p>
        </w:tc>
        <w:tc>
          <w:tcPr>
            <w:tcW w:w="1276" w:type="dxa"/>
          </w:tcPr>
          <w:p>
            <w:r>
              <w:rPr>
                <w:rFonts w:hint="eastAsia"/>
              </w:rPr>
              <w:t>呈缴制度与执行情况</w:t>
            </w:r>
          </w:p>
        </w:tc>
        <w:tc>
          <w:tcPr>
            <w:tcW w:w="3260" w:type="dxa"/>
          </w:tcPr>
          <w:p>
            <w:r>
              <w:t>1.</w:t>
            </w:r>
            <w:r>
              <w:rPr>
                <w:rFonts w:hint="eastAsia"/>
              </w:rPr>
              <w:t>呈缴制度主要考查所在地是否制订本地出版社向省级图书馆和市级图书馆呈缴出版物的行政法规或政策文件，提供相关政策文本。</w:t>
            </w:r>
          </w:p>
          <w:p>
            <w:r>
              <w:rPr>
                <w:rFonts w:hint="eastAsia"/>
              </w:rPr>
              <w:t>3.执行情况需达到《公共图书馆服务规范》中“呈缴本征集的品种、数量应达到地方正式出版物的70%以上”的要求，</w:t>
            </w:r>
            <w:r>
              <w:t>7</w:t>
            </w:r>
            <w:r>
              <w:rPr>
                <w:rFonts w:hint="eastAsia"/>
              </w:rPr>
              <w:t>0%-</w:t>
            </w:r>
            <w:r>
              <w:t>7</w:t>
            </w:r>
            <w:r>
              <w:rPr>
                <w:rFonts w:hint="eastAsia"/>
              </w:rPr>
              <w:t>9%，2分，</w:t>
            </w:r>
            <w:r>
              <w:t>8</w:t>
            </w:r>
            <w:r>
              <w:rPr>
                <w:rFonts w:hint="eastAsia"/>
              </w:rPr>
              <w:t>0%及以上，3分。</w:t>
            </w:r>
          </w:p>
          <w:p>
            <w:r>
              <w:rPr>
                <w:rFonts w:hint="eastAsia"/>
              </w:rPr>
              <w:t>3.该</w:t>
            </w:r>
            <w:r>
              <w:t>地区无正式出版社，可将报刊作为出版物，考核</w:t>
            </w:r>
            <w:r>
              <w:rPr>
                <w:rFonts w:hint="eastAsia"/>
              </w:rPr>
              <w:t xml:space="preserve">其呈缴情况。 </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B3261</w:t>
            </w:r>
          </w:p>
        </w:tc>
        <w:tc>
          <w:tcPr>
            <w:tcW w:w="850" w:type="dxa"/>
          </w:tcPr>
          <w:p>
            <w:r>
              <w:t>3.2.1</w:t>
            </w:r>
          </w:p>
        </w:tc>
        <w:tc>
          <w:tcPr>
            <w:tcW w:w="1276" w:type="dxa"/>
          </w:tcPr>
          <w:p>
            <w:r>
              <w:rPr>
                <w:rFonts w:hint="eastAsia"/>
              </w:rPr>
              <w:t>图书馆章程</w:t>
            </w:r>
          </w:p>
        </w:tc>
        <w:tc>
          <w:tcPr>
            <w:tcW w:w="3260" w:type="dxa"/>
          </w:tcPr>
          <w:p>
            <w:r>
              <w:t>章程内容应包括</w:t>
            </w:r>
            <w:r>
              <w:rPr>
                <w:rFonts w:hint="eastAsia"/>
              </w:rPr>
              <w:t>下列事项：（1）名称、馆址；（</w:t>
            </w:r>
            <w:r>
              <w:t>2</w:t>
            </w:r>
            <w:r>
              <w:rPr>
                <w:rFonts w:hint="eastAsia"/>
              </w:rPr>
              <w:t>）办馆宗旨及业务范围；（</w:t>
            </w:r>
            <w:r>
              <w:t>3</w:t>
            </w:r>
            <w:r>
              <w:rPr>
                <w:rFonts w:hint="eastAsia"/>
              </w:rPr>
              <w:t>）组织管理制度，包括理事会或者其他形式决策机构的产生办法、人员构成、任期、议事规则等；（</w:t>
            </w:r>
            <w:r>
              <w:t>4</w:t>
            </w:r>
            <w:r>
              <w:rPr>
                <w:rFonts w:hint="eastAsia"/>
              </w:rPr>
              <w:t>）文献信息资源收集、整理、保存、服务、处置的规则；（</w:t>
            </w:r>
            <w:r>
              <w:t>5</w:t>
            </w:r>
            <w:r>
              <w:rPr>
                <w:rFonts w:hint="eastAsia"/>
              </w:rPr>
              <w:t>）资产管理和使用规则；（</w:t>
            </w:r>
            <w:r>
              <w:t>6</w:t>
            </w:r>
            <w:r>
              <w:rPr>
                <w:rFonts w:hint="eastAsia"/>
              </w:rPr>
              <w:t>）章程修改程序；（</w:t>
            </w:r>
            <w:r>
              <w:t>7</w:t>
            </w:r>
            <w:r>
              <w:rPr>
                <w:rFonts w:hint="eastAsia"/>
              </w:rPr>
              <w:t>）终止程序和终止后资产的依法处理；（</w:t>
            </w:r>
            <w:r>
              <w:t>8</w:t>
            </w:r>
            <w:r>
              <w:rPr>
                <w:rFonts w:hint="eastAsia"/>
              </w:rPr>
              <w:t>）其他需要由章程规定的事项。</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B3263</w:t>
            </w:r>
          </w:p>
        </w:tc>
        <w:tc>
          <w:tcPr>
            <w:tcW w:w="850" w:type="dxa"/>
          </w:tcPr>
          <w:p>
            <w:r>
              <w:rPr>
                <w:rFonts w:hint="eastAsia"/>
              </w:rPr>
              <w:t>3.2.</w:t>
            </w:r>
            <w:r>
              <w:t>3</w:t>
            </w:r>
          </w:p>
        </w:tc>
        <w:tc>
          <w:tcPr>
            <w:tcW w:w="1276" w:type="dxa"/>
          </w:tcPr>
          <w:p>
            <w:r>
              <w:rPr>
                <w:rFonts w:hint="eastAsia"/>
              </w:rPr>
              <w:t>图书馆“十三五”规划制订与实施</w:t>
            </w:r>
          </w:p>
        </w:tc>
        <w:tc>
          <w:tcPr>
            <w:tcW w:w="3260" w:type="dxa"/>
          </w:tcPr>
          <w:p>
            <w:r>
              <w:t>1.</w:t>
            </w:r>
            <w:r>
              <w:rPr>
                <w:rFonts w:hint="eastAsia"/>
              </w:rPr>
              <w:t>制订3分包括：提供规划文本1分；有规划制订过程并附制订说明（含制订人员名单）1分；规划经上级主管部门或理事会通过，以文件形式下发，并在图书馆网站上发布，1分。</w:t>
            </w:r>
          </w:p>
          <w:p>
            <w:r>
              <w:t>2.</w:t>
            </w:r>
            <w:r>
              <w:rPr>
                <w:rFonts w:hint="eastAsia"/>
              </w:rPr>
              <w:t>实施2分包括：提供实施方案1分；有已实施部分（不少于2项）的佐证材料1分。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B326</w:t>
            </w:r>
            <w:r>
              <w:t>5</w:t>
            </w:r>
          </w:p>
        </w:tc>
        <w:tc>
          <w:tcPr>
            <w:tcW w:w="850" w:type="dxa"/>
          </w:tcPr>
          <w:p>
            <w:r>
              <w:t>3.3.1</w:t>
            </w:r>
          </w:p>
        </w:tc>
        <w:tc>
          <w:tcPr>
            <w:tcW w:w="1276" w:type="dxa"/>
          </w:tcPr>
          <w:p>
            <w:r>
              <w:rPr>
                <w:rFonts w:hint="eastAsia"/>
              </w:rPr>
              <w:t>年财政拨款总额（万元）</w:t>
            </w:r>
          </w:p>
        </w:tc>
        <w:tc>
          <w:tcPr>
            <w:tcW w:w="3260" w:type="dxa"/>
          </w:tcPr>
          <w:p>
            <w:r>
              <w:rPr>
                <w:rFonts w:hint="eastAsia"/>
              </w:rPr>
              <w:t>1.指本级财政拨款，包括本级财政所拨的文献购置费、运行费、人员经费、专项经费等全部拨款。</w:t>
            </w:r>
          </w:p>
          <w:p>
            <w:r>
              <w:rPr>
                <w:rFonts w:hint="eastAsia"/>
              </w:rPr>
              <w:t>2.不含上级配套补助和专项经费、下级财政经费额度及人员经费。</w:t>
            </w:r>
          </w:p>
          <w:p>
            <w:r>
              <w:rPr>
                <w:rFonts w:hint="eastAsia"/>
              </w:rPr>
              <w:t>3.以实际到位的经费计算。</w:t>
            </w:r>
          </w:p>
          <w:p>
            <w:r>
              <w:rPr>
                <w:rFonts w:hint="eastAsia"/>
              </w:rPr>
              <w:t>4.提供评估期各年数据，计算平均值。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B3266</w:t>
            </w:r>
          </w:p>
        </w:tc>
        <w:tc>
          <w:tcPr>
            <w:tcW w:w="850" w:type="dxa"/>
          </w:tcPr>
          <w:p>
            <w:r>
              <w:t>3.3.2</w:t>
            </w:r>
          </w:p>
        </w:tc>
        <w:tc>
          <w:tcPr>
            <w:tcW w:w="1276" w:type="dxa"/>
          </w:tcPr>
          <w:p>
            <w:r>
              <w:rPr>
                <w:rFonts w:hint="eastAsia"/>
              </w:rPr>
              <w:t>财政拨款年增长率与当地财政收入年增长率的比率（%）</w:t>
            </w:r>
          </w:p>
        </w:tc>
        <w:tc>
          <w:tcPr>
            <w:tcW w:w="3260" w:type="dxa"/>
          </w:tcPr>
          <w:p>
            <w:r>
              <w:rPr>
                <w:rFonts w:hint="eastAsia"/>
              </w:rPr>
              <w:t>1.以评估期最后一年的数据和上一年的数据为准进行计算。</w:t>
            </w:r>
          </w:p>
          <w:p>
            <w:r>
              <w:t>2.</w:t>
            </w:r>
            <w:r>
              <w:rPr>
                <w:rFonts w:hint="eastAsia"/>
              </w:rPr>
              <w:t>此项基本分项虽然未达到100%，但“年财政拨款总额”已达到加分满分的，此项按基本分满分计算。</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B326</w:t>
            </w:r>
            <w:r>
              <w:t>7</w:t>
            </w:r>
          </w:p>
        </w:tc>
        <w:tc>
          <w:tcPr>
            <w:tcW w:w="850" w:type="dxa"/>
          </w:tcPr>
          <w:p>
            <w:r>
              <w:t>3.3.3</w:t>
            </w:r>
          </w:p>
        </w:tc>
        <w:tc>
          <w:tcPr>
            <w:tcW w:w="1276" w:type="dxa"/>
          </w:tcPr>
          <w:p>
            <w:r>
              <w:rPr>
                <w:rFonts w:hint="eastAsia"/>
              </w:rPr>
              <w:t>年人均文献购置费</w:t>
            </w:r>
          </w:p>
          <w:p>
            <w:r>
              <w:rPr>
                <w:rFonts w:hint="eastAsia"/>
              </w:rPr>
              <w:t>(元)</w:t>
            </w:r>
          </w:p>
        </w:tc>
        <w:tc>
          <w:tcPr>
            <w:tcW w:w="3260" w:type="dxa"/>
          </w:tcPr>
          <w:p>
            <w:r>
              <w:rPr>
                <w:rFonts w:hint="eastAsia"/>
              </w:rPr>
              <w:t>1. 年购书费指市本级用于购买图书、报刊和数字资源的经费，不含下辖区域的经费。</w:t>
            </w:r>
          </w:p>
          <w:p>
            <w:r>
              <w:rPr>
                <w:rFonts w:hint="eastAsia"/>
              </w:rPr>
              <w:t>2.辖区常住人口数量以本市统计年鉴数据为准。</w:t>
            </w:r>
          </w:p>
          <w:p>
            <w:r>
              <w:rPr>
                <w:rFonts w:hint="eastAsia"/>
              </w:rPr>
              <w:t>3.提供评估期各年数据，计算平均值。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B3271</w:t>
            </w:r>
          </w:p>
        </w:tc>
        <w:tc>
          <w:tcPr>
            <w:tcW w:w="850" w:type="dxa"/>
          </w:tcPr>
          <w:p>
            <w:r>
              <w:t>3.4.1</w:t>
            </w:r>
          </w:p>
        </w:tc>
        <w:tc>
          <w:tcPr>
            <w:tcW w:w="1276" w:type="dxa"/>
          </w:tcPr>
          <w:p>
            <w:r>
              <w:rPr>
                <w:rFonts w:hint="eastAsia"/>
              </w:rPr>
              <w:t>人均文献馆藏量</w:t>
            </w:r>
          </w:p>
          <w:p>
            <w:r>
              <w:rPr>
                <w:rFonts w:hint="eastAsia"/>
              </w:rPr>
              <w:t>(册件)</w:t>
            </w:r>
          </w:p>
        </w:tc>
        <w:tc>
          <w:tcPr>
            <w:tcW w:w="3260" w:type="dxa"/>
          </w:tcPr>
          <w:p>
            <w:r>
              <w:rPr>
                <w:rFonts w:hint="eastAsia"/>
              </w:rPr>
              <w:t>1. 图书馆文献馆藏量指本馆已入藏的古籍、图书、期刊和报纸的合订本、小册子、手稿，以及缩微制品、录像带、录音带、光盘等视听资料数量之和。不含电子文献藏量。</w:t>
            </w:r>
          </w:p>
          <w:p>
            <w:r>
              <w:rPr>
                <w:rFonts w:hint="eastAsia"/>
              </w:rPr>
              <w:t>2.图书馆文献馆藏量不含本级以下辖区馆藏量，含本级总分馆中用本级经费购物的馆藏。</w:t>
            </w:r>
          </w:p>
          <w:p>
            <w:r>
              <w:rPr>
                <w:rFonts w:hint="eastAsia"/>
              </w:rPr>
              <w:t>3.辖区常住人口数量以本辖区统计年鉴数据为准。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w:t>
            </w:r>
            <w:r>
              <w:t>2</w:t>
            </w:r>
          </w:p>
        </w:tc>
        <w:tc>
          <w:tcPr>
            <w:tcW w:w="850" w:type="dxa"/>
          </w:tcPr>
          <w:p>
            <w:r>
              <w:t>3.4.2</w:t>
            </w:r>
          </w:p>
        </w:tc>
        <w:tc>
          <w:tcPr>
            <w:tcW w:w="1276" w:type="dxa"/>
          </w:tcPr>
          <w:p>
            <w:r>
              <w:rPr>
                <w:rFonts w:hint="eastAsia"/>
              </w:rPr>
              <w:t>年人均新增文献入藏量(册件)</w:t>
            </w:r>
          </w:p>
        </w:tc>
        <w:tc>
          <w:tcPr>
            <w:tcW w:w="3260" w:type="dxa"/>
          </w:tcPr>
          <w:p>
            <w:r>
              <w:rPr>
                <w:rFonts w:hint="eastAsia"/>
              </w:rPr>
              <w:t>1.年新增文献总量指每年新入藏的图书、期刊和报纸的合订本、小册子、手稿，以及缩微制品、录像带、录音带、光盘等视听资料数量之和。不含电子文献藏量。</w:t>
            </w:r>
          </w:p>
          <w:p>
            <w:r>
              <w:rPr>
                <w:rFonts w:hint="eastAsia"/>
              </w:rPr>
              <w:t>2.年新增文献总量不含本级以下辖区新增馆藏量，含本级总分馆中用本级经费购的馆藏。</w:t>
            </w:r>
          </w:p>
          <w:p>
            <w:r>
              <w:rPr>
                <w:rFonts w:hint="eastAsia"/>
              </w:rPr>
              <w:t>3.辖区常住人口数量以本辖区统计年鉴数据为准。</w:t>
            </w:r>
          </w:p>
          <w:p>
            <w:r>
              <w:rPr>
                <w:rFonts w:hint="eastAsia"/>
              </w:rPr>
              <w:t>4.提供评估期各年数据，计算平均值。</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B3274</w:t>
            </w:r>
          </w:p>
        </w:tc>
        <w:tc>
          <w:tcPr>
            <w:tcW w:w="850" w:type="dxa"/>
          </w:tcPr>
          <w:p>
            <w:r>
              <w:t>3.5.1</w:t>
            </w:r>
          </w:p>
        </w:tc>
        <w:tc>
          <w:tcPr>
            <w:tcW w:w="1276" w:type="dxa"/>
          </w:tcPr>
          <w:p>
            <w:r>
              <w:rPr>
                <w:rFonts w:hint="eastAsia"/>
              </w:rPr>
              <w:t>建筑面积</w:t>
            </w:r>
          </w:p>
          <w:p>
            <w:pPr>
              <w:jc w:val="left"/>
            </w:pPr>
            <w:r>
              <w:rPr>
                <w:rFonts w:hint="eastAsia"/>
              </w:rPr>
              <w:t>（万平方米）</w:t>
            </w:r>
          </w:p>
        </w:tc>
        <w:tc>
          <w:tcPr>
            <w:tcW w:w="3260" w:type="dxa"/>
          </w:tcPr>
          <w:p>
            <w:r>
              <w:rPr>
                <w:rFonts w:hint="eastAsia"/>
              </w:rPr>
              <w:t>1.指本级馆舍总面积，不含二级机构或延伸服务的馆舍面积。</w:t>
            </w:r>
          </w:p>
          <w:p>
            <w:pPr>
              <w:rPr>
                <w:rFonts w:hint="eastAsia"/>
              </w:rPr>
            </w:pPr>
            <w:r>
              <w:rPr>
                <w:rFonts w:hint="eastAsia"/>
              </w:rPr>
              <w:t>2.本级馆舍总面积包括拥有产权和永久使用权的分馆面积。不含职工宿舍及临时建筑。</w:t>
            </w:r>
          </w:p>
          <w:p>
            <w:pPr>
              <w:rPr>
                <w:rFonts w:hint="eastAsia"/>
              </w:rPr>
            </w:pPr>
            <w:r>
              <w:rPr>
                <w:rFonts w:hint="eastAsia"/>
              </w:rPr>
              <w:t>3</w:t>
            </w:r>
            <w:r>
              <w:t>.</w:t>
            </w:r>
            <w:r>
              <w:rPr>
                <w:rFonts w:hint="eastAsia"/>
              </w:rPr>
              <w:t>含图书馆外储存书库或储存图书馆面积。属租赁房屋的除政府文件证明外，还需要租赁合同。</w:t>
            </w:r>
          </w:p>
          <w:p>
            <w:r>
              <w:rPr>
                <w:rFonts w:hint="eastAsia"/>
              </w:rPr>
              <w:t>4</w:t>
            </w:r>
            <w:r>
              <w:t>.</w:t>
            </w:r>
            <w:r>
              <w:rPr>
                <w:rFonts w:hint="eastAsia"/>
              </w:rPr>
              <w:t>标准分馆有政府文件证明的可列入总面积。</w:t>
            </w:r>
          </w:p>
          <w:p>
            <w:r>
              <w:rPr>
                <w:rFonts w:hint="eastAsia"/>
              </w:rPr>
              <w:t>5</w:t>
            </w:r>
            <w:r>
              <w:t>.</w:t>
            </w:r>
            <w:r>
              <w:rPr>
                <w:rFonts w:hint="eastAsia"/>
              </w:rPr>
              <w:t>以评估期各年度报表所报面积为依据，要求提供相关的建筑图纸及房产证明（指独立产权证或政府给予永久使用权的文件证明）；无法提供建筑图纸的老建筑，须提供上次评估时对此项的结论。</w:t>
            </w:r>
          </w:p>
          <w:p>
            <w:r>
              <w:rPr>
                <w:rFonts w:hint="eastAsia"/>
              </w:rPr>
              <w:t>6.一馆两种性质（公共图书馆、高校图书馆等）获文化部门和其他部门（如教育、科技等）共建合用的图书馆，该馆建筑面积按一半计算。</w:t>
            </w:r>
          </w:p>
        </w:tc>
        <w:tc>
          <w:tcPr>
            <w:tcW w:w="2147" w:type="dxa"/>
          </w:tcPr>
          <w:p>
            <w:pPr>
              <w:rPr>
                <w:rFonts w:hint="eastAsia"/>
              </w:rPr>
            </w:pPr>
            <w:r>
              <w:rPr>
                <w:rFonts w:hint="eastAsia"/>
              </w:rPr>
              <w:t>如图书馆无独立馆舍，扣1-</w:t>
            </w:r>
            <w:r>
              <w:t>5分</w:t>
            </w:r>
            <w:r>
              <w:rPr>
                <w:rFonts w:hint="eastAsia"/>
              </w:rPr>
              <w:t>。</w:t>
            </w:r>
          </w:p>
          <w:p>
            <w:r>
              <w:rPr>
                <w:rFonts w:hint="eastAsia"/>
              </w:rPr>
              <w:t>评估前已立项并开工建设的图书馆面积（含正在扩建、尚未竣工的建筑面积），按三分之一计算，待完工后计算全部面积。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t>B3275</w:t>
            </w:r>
          </w:p>
        </w:tc>
        <w:tc>
          <w:tcPr>
            <w:tcW w:w="850" w:type="dxa"/>
          </w:tcPr>
          <w:p>
            <w:r>
              <w:t>3</w:t>
            </w:r>
            <w:r>
              <w:rPr>
                <w:rFonts w:hint="eastAsia"/>
              </w:rPr>
              <w:t>.5.2</w:t>
            </w:r>
          </w:p>
        </w:tc>
        <w:tc>
          <w:tcPr>
            <w:tcW w:w="1276" w:type="dxa"/>
          </w:tcPr>
          <w:p>
            <w:r>
              <w:rPr>
                <w:rFonts w:hint="eastAsia"/>
              </w:rPr>
              <w:t>功能适用性</w:t>
            </w:r>
          </w:p>
        </w:tc>
        <w:tc>
          <w:tcPr>
            <w:tcW w:w="3260" w:type="dxa"/>
          </w:tcPr>
          <w:p>
            <w:r>
              <w:rPr>
                <w:rFonts w:hint="eastAsia"/>
              </w:rPr>
              <w:t>1.图书馆分区应有读者分区，有休闲空间、读者体验空间等。</w:t>
            </w:r>
          </w:p>
          <w:p>
            <w:r>
              <w:rPr>
                <w:rFonts w:hint="eastAsia"/>
              </w:rPr>
              <w:t>2.读者服务配套设施主要包括：读者存包设施；读者复印打印设施；读者饮水设施；读者用餐设施；读者纪念品商店等。</w:t>
            </w:r>
          </w:p>
          <w:p>
            <w:r>
              <w:t>3</w:t>
            </w:r>
            <w:r>
              <w:rPr>
                <w:rFonts w:hint="eastAsia"/>
              </w:rPr>
              <w:t>.无障碍设施包括：有无障碍机动车车位，建筑主要出入口有坡道入口，无障碍楼梯、台阶，无障碍电梯（若设置电梯），无障碍卫生间。</w:t>
            </w:r>
          </w:p>
        </w:tc>
        <w:tc>
          <w:tcPr>
            <w:tcW w:w="2147" w:type="dxa"/>
          </w:tcPr>
          <w:p>
            <w:r>
              <w:rPr>
                <w:rFonts w:hint="eastAsia"/>
              </w:rPr>
              <w:t>无同级少儿馆的要有独立的少儿活动空间，及相应的儿童专用设备，少儿阅览座席不少于总座席的10%。若达不到此项要求，在图书馆分区与空间合理性一项扣1-3分。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B3276</w:t>
            </w:r>
          </w:p>
        </w:tc>
        <w:tc>
          <w:tcPr>
            <w:tcW w:w="850" w:type="dxa"/>
          </w:tcPr>
          <w:p>
            <w:r>
              <w:t>3.5.3</w:t>
            </w:r>
          </w:p>
        </w:tc>
        <w:tc>
          <w:tcPr>
            <w:tcW w:w="1276" w:type="dxa"/>
          </w:tcPr>
          <w:p>
            <w:r>
              <w:rPr>
                <w:rFonts w:hint="eastAsia"/>
              </w:rPr>
              <w:t>阅览座席数量（个）</w:t>
            </w:r>
          </w:p>
        </w:tc>
        <w:tc>
          <w:tcPr>
            <w:tcW w:w="3260" w:type="dxa"/>
          </w:tcPr>
          <w:p>
            <w:r>
              <w:rPr>
                <w:rFonts w:hint="eastAsia"/>
              </w:rPr>
              <w:t>1.含多媒体视听室、电子阅览室。</w:t>
            </w:r>
          </w:p>
          <w:p>
            <w:r>
              <w:rPr>
                <w:rFonts w:hint="eastAsia"/>
              </w:rPr>
              <w:t>2.不含公众活动场所供读者休息、等候的座椅，不含会议室、报告厅和影像厅座席。</w:t>
            </w:r>
            <w:r>
              <w:t xml:space="preserve"> </w:t>
            </w:r>
          </w:p>
        </w:tc>
        <w:tc>
          <w:tcPr>
            <w:tcW w:w="2147" w:type="dxa"/>
          </w:tcPr>
          <w:p>
            <w:r>
              <w:rPr>
                <w:rFonts w:hint="eastAsia"/>
              </w:rPr>
              <w:t>有同级少儿馆的对少儿阅览座席不做要求，无同级少儿馆的需要在阅览座席中考虑少儿阅览座席比例需达到10%才可满足基本分。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w:t>
            </w:r>
            <w:r>
              <w:t>8</w:t>
            </w:r>
          </w:p>
        </w:tc>
        <w:tc>
          <w:tcPr>
            <w:tcW w:w="850" w:type="dxa"/>
          </w:tcPr>
          <w:p>
            <w:r>
              <w:t>3.6.1</w:t>
            </w:r>
          </w:p>
        </w:tc>
        <w:tc>
          <w:tcPr>
            <w:tcW w:w="1276" w:type="dxa"/>
          </w:tcPr>
          <w:p>
            <w:r>
              <w:rPr>
                <w:rFonts w:hint="eastAsia"/>
              </w:rPr>
              <w:t>读者用计算机终端数量（台）</w:t>
            </w:r>
          </w:p>
        </w:tc>
        <w:tc>
          <w:tcPr>
            <w:tcW w:w="3260" w:type="dxa"/>
          </w:tcPr>
          <w:p>
            <w:r>
              <w:rPr>
                <w:rFonts w:hint="eastAsia"/>
              </w:rPr>
              <w:t>1.指可供读者正常使用的计算机数量，含移动终端数量和以计算机为核心的自助设备，但不含自助打印和复印设备。</w:t>
            </w:r>
          </w:p>
          <w:p>
            <w:r>
              <w:rPr>
                <w:rFonts w:hint="eastAsia"/>
              </w:rPr>
              <w:t>2.不包括已经淘汰和报废的计算机。</w:t>
            </w:r>
          </w:p>
          <w:p>
            <w:r>
              <w:rPr>
                <w:rFonts w:hint="eastAsia"/>
              </w:rPr>
              <w:t>3.提供固定资产证明，及每台计算机的存放地点、用途。</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B327</w:t>
            </w:r>
            <w:r>
              <w:t>9</w:t>
            </w:r>
          </w:p>
        </w:tc>
        <w:tc>
          <w:tcPr>
            <w:tcW w:w="850" w:type="dxa"/>
          </w:tcPr>
          <w:p>
            <w:r>
              <w:t>3.6.2</w:t>
            </w:r>
          </w:p>
        </w:tc>
        <w:tc>
          <w:tcPr>
            <w:tcW w:w="1276" w:type="dxa"/>
          </w:tcPr>
          <w:p>
            <w:r>
              <w:rPr>
                <w:rFonts w:hint="eastAsia"/>
              </w:rPr>
              <w:t>读者服务区无线网覆盖率（%）</w:t>
            </w:r>
          </w:p>
        </w:tc>
        <w:tc>
          <w:tcPr>
            <w:tcW w:w="3260" w:type="dxa"/>
          </w:tcPr>
          <w:p>
            <w:r>
              <w:rPr>
                <w:rFonts w:hint="eastAsia"/>
              </w:rPr>
              <w:t>读者服务区包括藏书区、借阅区、咨询服务区、公共活动及辅助服务区。</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B3280</w:t>
            </w:r>
          </w:p>
        </w:tc>
        <w:tc>
          <w:tcPr>
            <w:tcW w:w="850" w:type="dxa"/>
          </w:tcPr>
          <w:p>
            <w:r>
              <w:t>3.6.3</w:t>
            </w:r>
          </w:p>
        </w:tc>
        <w:tc>
          <w:tcPr>
            <w:tcW w:w="1276" w:type="dxa"/>
          </w:tcPr>
          <w:p>
            <w:r>
              <w:rPr>
                <w:rFonts w:hint="eastAsia"/>
              </w:rPr>
              <w:t>网络带宽（Mbps）</w:t>
            </w:r>
          </w:p>
        </w:tc>
        <w:tc>
          <w:tcPr>
            <w:tcW w:w="3260" w:type="dxa"/>
          </w:tcPr>
          <w:p>
            <w:r>
              <w:rPr>
                <w:rFonts w:hint="eastAsia"/>
              </w:rPr>
              <w:t>提供网络施工合同书。</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B328</w:t>
            </w:r>
            <w:r>
              <w:t>1</w:t>
            </w:r>
          </w:p>
        </w:tc>
        <w:tc>
          <w:tcPr>
            <w:tcW w:w="850" w:type="dxa"/>
          </w:tcPr>
          <w:p>
            <w:r>
              <w:t>3.6.4</w:t>
            </w:r>
          </w:p>
        </w:tc>
        <w:tc>
          <w:tcPr>
            <w:tcW w:w="1276" w:type="dxa"/>
          </w:tcPr>
          <w:p>
            <w:r>
              <w:rPr>
                <w:rFonts w:hint="eastAsia"/>
              </w:rPr>
              <w:t>存储容量（TB）</w:t>
            </w:r>
          </w:p>
        </w:tc>
        <w:tc>
          <w:tcPr>
            <w:tcW w:w="3260" w:type="dxa"/>
          </w:tcPr>
          <w:p>
            <w:r>
              <w:rPr>
                <w:rFonts w:hint="eastAsia"/>
              </w:rPr>
              <w:t>指专用存储设备容量，不含普通服务器、计算机的硬盘容量。</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B328</w:t>
            </w:r>
            <w:r>
              <w:t>2</w:t>
            </w:r>
          </w:p>
        </w:tc>
        <w:tc>
          <w:tcPr>
            <w:tcW w:w="850" w:type="dxa"/>
          </w:tcPr>
          <w:p>
            <w:r>
              <w:t>3.6.5</w:t>
            </w:r>
          </w:p>
        </w:tc>
        <w:tc>
          <w:tcPr>
            <w:tcW w:w="1276" w:type="dxa"/>
          </w:tcPr>
          <w:p>
            <w:r>
              <w:rPr>
                <w:rFonts w:hint="eastAsia"/>
              </w:rPr>
              <w:t>信息化管理系统</w:t>
            </w:r>
          </w:p>
        </w:tc>
        <w:tc>
          <w:tcPr>
            <w:tcW w:w="3260" w:type="dxa"/>
          </w:tcPr>
          <w:p/>
        </w:tc>
        <w:tc>
          <w:tcPr>
            <w:tcW w:w="2147" w:type="dxa"/>
          </w:tcPr>
          <w:p>
            <w:r>
              <w:rPr>
                <w:rFonts w:hint="eastAsia"/>
              </w:rPr>
              <w:t>系统运行不正常的可酌情扣分。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w:t>
            </w:r>
            <w:r>
              <w:t>8</w:t>
            </w:r>
            <w:r>
              <w:rPr>
                <w:rFonts w:hint="eastAsia"/>
              </w:rPr>
              <w:t>5</w:t>
            </w:r>
          </w:p>
        </w:tc>
        <w:tc>
          <w:tcPr>
            <w:tcW w:w="850" w:type="dxa"/>
          </w:tcPr>
          <w:p>
            <w:r>
              <w:t>3.7.1</w:t>
            </w:r>
          </w:p>
        </w:tc>
        <w:tc>
          <w:tcPr>
            <w:tcW w:w="1276" w:type="dxa"/>
          </w:tcPr>
          <w:p>
            <w:r>
              <w:rPr>
                <w:rFonts w:hint="eastAsia"/>
              </w:rPr>
              <w:t>员工数量</w:t>
            </w:r>
          </w:p>
        </w:tc>
        <w:tc>
          <w:tcPr>
            <w:tcW w:w="3260" w:type="dxa"/>
          </w:tcPr>
          <w:p>
            <w:r>
              <w:rPr>
                <w:rFonts w:hint="eastAsia"/>
              </w:rPr>
              <w:t>1.指本级图书馆拥有的员工，不含本级以下辖区员工，含本级总分馆中的各分馆员工。</w:t>
            </w:r>
          </w:p>
          <w:p>
            <w:r>
              <w:rPr>
                <w:rFonts w:hint="eastAsia"/>
              </w:rPr>
              <w:t>2.员工指图书馆业务人员与管理人员，不含物业、保洁、保卫人员；不含一年以下的短期聘用人员和临时工。</w:t>
            </w:r>
          </w:p>
          <w:p>
            <w:r>
              <w:rPr>
                <w:rFonts w:hint="eastAsia"/>
              </w:rPr>
              <w:t>3.按服务人口比例配备的员工数量含基数员工。即员工数量≥服务人口/20000时，5分；员工数量≥服务人口/</w:t>
            </w:r>
            <w:r>
              <w:t>1</w:t>
            </w:r>
            <w:r>
              <w:rPr>
                <w:rFonts w:hint="eastAsia"/>
              </w:rPr>
              <w:t>0000时，加5分。其中服务人口=城区常住人口+1/</w:t>
            </w:r>
            <w:r>
              <w:t>3</w:t>
            </w:r>
            <w:r>
              <w:rPr>
                <w:rFonts w:hint="eastAsia"/>
              </w:rPr>
              <w:t>（城区外其它常住人口）。</w:t>
            </w:r>
          </w:p>
          <w:p>
            <w:r>
              <w:t>4.</w:t>
            </w:r>
            <w:r>
              <w:rPr>
                <w:rFonts w:hint="eastAsia"/>
              </w:rPr>
              <w:t>基数员工20人要求</w:t>
            </w:r>
            <w:r>
              <w:t>固定编制，</w:t>
            </w:r>
            <w:r>
              <w:rPr>
                <w:rFonts w:hint="eastAsia"/>
              </w:rPr>
              <w:t>按</w:t>
            </w:r>
            <w:r>
              <w:t>服务人口比例增幅</w:t>
            </w:r>
            <w:r>
              <w:rPr>
                <w:rFonts w:hint="eastAsia"/>
              </w:rPr>
              <w:t>部分</w:t>
            </w:r>
            <w:r>
              <w:t>可含长期聘用制</w:t>
            </w:r>
            <w:r>
              <w:rPr>
                <w:rFonts w:hint="eastAsia"/>
              </w:rPr>
              <w:t>、合同制、人事代理、劳务派遣、</w:t>
            </w:r>
            <w:r>
              <w:t>社会购买服务人员</w:t>
            </w:r>
            <w:r>
              <w:rPr>
                <w:rFonts w:hint="eastAsia"/>
              </w:rPr>
              <w:t>。</w:t>
            </w:r>
          </w:p>
          <w:p>
            <w:r>
              <w:rPr>
                <w:rFonts w:hint="eastAsia"/>
              </w:rPr>
              <w:t>5.以评估前数据为准。</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w:t>
            </w:r>
            <w:r>
              <w:t>86</w:t>
            </w:r>
          </w:p>
        </w:tc>
        <w:tc>
          <w:tcPr>
            <w:tcW w:w="850" w:type="dxa"/>
          </w:tcPr>
          <w:p>
            <w:r>
              <w:t>3.7.2</w:t>
            </w:r>
          </w:p>
        </w:tc>
        <w:tc>
          <w:tcPr>
            <w:tcW w:w="1276" w:type="dxa"/>
          </w:tcPr>
          <w:p>
            <w:r>
              <w:rPr>
                <w:rFonts w:hint="eastAsia"/>
              </w:rPr>
              <w:t>大学本科及以上学历员工占比</w:t>
            </w:r>
          </w:p>
          <w:p>
            <w:r>
              <w:rPr>
                <w:rFonts w:hint="eastAsia"/>
              </w:rPr>
              <w:t>（％）</w:t>
            </w:r>
          </w:p>
        </w:tc>
        <w:tc>
          <w:tcPr>
            <w:tcW w:w="3260" w:type="dxa"/>
          </w:tcPr>
          <w:p>
            <w:r>
              <w:rPr>
                <w:rFonts w:hint="eastAsia"/>
              </w:rPr>
              <w:t>学历指国家承认的正式学历，不含相当学力。</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B3287</w:t>
            </w:r>
          </w:p>
        </w:tc>
        <w:tc>
          <w:tcPr>
            <w:tcW w:w="850" w:type="dxa"/>
          </w:tcPr>
          <w:p>
            <w:r>
              <w:t>3.7.3</w:t>
            </w:r>
          </w:p>
        </w:tc>
        <w:tc>
          <w:tcPr>
            <w:tcW w:w="1276" w:type="dxa"/>
          </w:tcPr>
          <w:p>
            <w:r>
              <w:rPr>
                <w:rFonts w:hint="eastAsia"/>
              </w:rPr>
              <w:t>高级职称员工占比（％）</w:t>
            </w:r>
          </w:p>
        </w:tc>
        <w:tc>
          <w:tcPr>
            <w:tcW w:w="3260" w:type="dxa"/>
          </w:tcPr>
          <w:p>
            <w:r>
              <w:rPr>
                <w:rFonts w:hint="eastAsia"/>
              </w:rPr>
              <w:t>不含低职高聘的员工。</w:t>
            </w:r>
          </w:p>
        </w:tc>
        <w:tc>
          <w:tcPr>
            <w:tcW w:w="214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r>
              <w:rPr>
                <w:rFonts w:hint="eastAsia"/>
              </w:rPr>
              <w:t>B3288</w:t>
            </w:r>
          </w:p>
        </w:tc>
        <w:tc>
          <w:tcPr>
            <w:tcW w:w="850" w:type="dxa"/>
          </w:tcPr>
          <w:p>
            <w:r>
              <w:t>3.7.4</w:t>
            </w:r>
          </w:p>
        </w:tc>
        <w:tc>
          <w:tcPr>
            <w:tcW w:w="1276" w:type="dxa"/>
          </w:tcPr>
          <w:p>
            <w:r>
              <w:rPr>
                <w:rFonts w:hint="eastAsia"/>
              </w:rPr>
              <w:t>领导班子配备</w:t>
            </w:r>
          </w:p>
        </w:tc>
        <w:tc>
          <w:tcPr>
            <w:tcW w:w="3260" w:type="dxa"/>
          </w:tcPr>
          <w:p>
            <w:r>
              <w:rPr>
                <w:rFonts w:hint="eastAsia"/>
              </w:rPr>
              <w:t>领导班子年龄结构合理指青年干部占有</w:t>
            </w:r>
            <w:r>
              <w:t>一定</w:t>
            </w:r>
            <w:r>
              <w:rPr>
                <w:rFonts w:hint="eastAsia"/>
              </w:rPr>
              <w:t>比例。</w:t>
            </w:r>
          </w:p>
        </w:tc>
        <w:tc>
          <w:tcPr>
            <w:tcW w:w="2147" w:type="dxa"/>
          </w:tcP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1B"/>
    <w:rsid w:val="00002679"/>
    <w:rsid w:val="00004414"/>
    <w:rsid w:val="0001288E"/>
    <w:rsid w:val="00013840"/>
    <w:rsid w:val="000212BA"/>
    <w:rsid w:val="00021314"/>
    <w:rsid w:val="000226FA"/>
    <w:rsid w:val="000254BF"/>
    <w:rsid w:val="0002612E"/>
    <w:rsid w:val="000309CD"/>
    <w:rsid w:val="000341A4"/>
    <w:rsid w:val="000457E7"/>
    <w:rsid w:val="00050263"/>
    <w:rsid w:val="00052D8F"/>
    <w:rsid w:val="00053AA3"/>
    <w:rsid w:val="0005781B"/>
    <w:rsid w:val="000578E2"/>
    <w:rsid w:val="000620D3"/>
    <w:rsid w:val="00065377"/>
    <w:rsid w:val="000672B2"/>
    <w:rsid w:val="00075869"/>
    <w:rsid w:val="00080E56"/>
    <w:rsid w:val="000A133F"/>
    <w:rsid w:val="000A4309"/>
    <w:rsid w:val="000A567D"/>
    <w:rsid w:val="000B1177"/>
    <w:rsid w:val="000B24C9"/>
    <w:rsid w:val="000B4EF9"/>
    <w:rsid w:val="000C371D"/>
    <w:rsid w:val="000D6EF7"/>
    <w:rsid w:val="000E0C98"/>
    <w:rsid w:val="000E2056"/>
    <w:rsid w:val="000E2B10"/>
    <w:rsid w:val="000E30D9"/>
    <w:rsid w:val="000E5CC5"/>
    <w:rsid w:val="000E709D"/>
    <w:rsid w:val="000E7D2A"/>
    <w:rsid w:val="00100387"/>
    <w:rsid w:val="0010345C"/>
    <w:rsid w:val="00106ADC"/>
    <w:rsid w:val="00115D6D"/>
    <w:rsid w:val="001175CD"/>
    <w:rsid w:val="0012390E"/>
    <w:rsid w:val="00126946"/>
    <w:rsid w:val="00136C7F"/>
    <w:rsid w:val="001372B4"/>
    <w:rsid w:val="0014187A"/>
    <w:rsid w:val="00144036"/>
    <w:rsid w:val="00145485"/>
    <w:rsid w:val="00150254"/>
    <w:rsid w:val="0015315C"/>
    <w:rsid w:val="00154F93"/>
    <w:rsid w:val="00156205"/>
    <w:rsid w:val="00163B39"/>
    <w:rsid w:val="00163D5C"/>
    <w:rsid w:val="00176DFB"/>
    <w:rsid w:val="00177F60"/>
    <w:rsid w:val="00180546"/>
    <w:rsid w:val="00180BCD"/>
    <w:rsid w:val="00182CA4"/>
    <w:rsid w:val="00194887"/>
    <w:rsid w:val="001A5ED2"/>
    <w:rsid w:val="001B109F"/>
    <w:rsid w:val="001B73C9"/>
    <w:rsid w:val="001D0CA0"/>
    <w:rsid w:val="001D6E6D"/>
    <w:rsid w:val="001E0BEB"/>
    <w:rsid w:val="001E3AEB"/>
    <w:rsid w:val="001F4C5A"/>
    <w:rsid w:val="001F5C0B"/>
    <w:rsid w:val="001F7001"/>
    <w:rsid w:val="00216F8B"/>
    <w:rsid w:val="00223826"/>
    <w:rsid w:val="00226AAB"/>
    <w:rsid w:val="00230856"/>
    <w:rsid w:val="00234704"/>
    <w:rsid w:val="00253905"/>
    <w:rsid w:val="00262431"/>
    <w:rsid w:val="0026538A"/>
    <w:rsid w:val="00266633"/>
    <w:rsid w:val="002722A8"/>
    <w:rsid w:val="0028363F"/>
    <w:rsid w:val="00291A5C"/>
    <w:rsid w:val="00292BAC"/>
    <w:rsid w:val="00294772"/>
    <w:rsid w:val="002A5664"/>
    <w:rsid w:val="002B39B6"/>
    <w:rsid w:val="002B49D4"/>
    <w:rsid w:val="002B54F3"/>
    <w:rsid w:val="002B60AC"/>
    <w:rsid w:val="002B68D3"/>
    <w:rsid w:val="002C2322"/>
    <w:rsid w:val="002C7325"/>
    <w:rsid w:val="002C7F76"/>
    <w:rsid w:val="002D2BCD"/>
    <w:rsid w:val="002D52C6"/>
    <w:rsid w:val="002D58EA"/>
    <w:rsid w:val="002E2D01"/>
    <w:rsid w:val="002F0726"/>
    <w:rsid w:val="002F6B78"/>
    <w:rsid w:val="00303029"/>
    <w:rsid w:val="00312573"/>
    <w:rsid w:val="00320ABE"/>
    <w:rsid w:val="003347EE"/>
    <w:rsid w:val="00353FE2"/>
    <w:rsid w:val="00356C1E"/>
    <w:rsid w:val="00357768"/>
    <w:rsid w:val="003707E3"/>
    <w:rsid w:val="00373031"/>
    <w:rsid w:val="00383322"/>
    <w:rsid w:val="00385533"/>
    <w:rsid w:val="00386F70"/>
    <w:rsid w:val="00392DE8"/>
    <w:rsid w:val="00393662"/>
    <w:rsid w:val="003942FC"/>
    <w:rsid w:val="00396B82"/>
    <w:rsid w:val="003A3E4A"/>
    <w:rsid w:val="003A51E5"/>
    <w:rsid w:val="003A5EC9"/>
    <w:rsid w:val="003A785E"/>
    <w:rsid w:val="003B28E6"/>
    <w:rsid w:val="003B6C6B"/>
    <w:rsid w:val="003C2010"/>
    <w:rsid w:val="003C3B3B"/>
    <w:rsid w:val="003C5CFC"/>
    <w:rsid w:val="003D61EE"/>
    <w:rsid w:val="003D6F0B"/>
    <w:rsid w:val="003E32FC"/>
    <w:rsid w:val="003E4235"/>
    <w:rsid w:val="003E51CE"/>
    <w:rsid w:val="003E69DE"/>
    <w:rsid w:val="003F3141"/>
    <w:rsid w:val="003F5D83"/>
    <w:rsid w:val="00401702"/>
    <w:rsid w:val="0041671B"/>
    <w:rsid w:val="00425331"/>
    <w:rsid w:val="004256C4"/>
    <w:rsid w:val="0043435C"/>
    <w:rsid w:val="00434ECB"/>
    <w:rsid w:val="00455974"/>
    <w:rsid w:val="0046257A"/>
    <w:rsid w:val="00467598"/>
    <w:rsid w:val="004750D9"/>
    <w:rsid w:val="00476439"/>
    <w:rsid w:val="004862A4"/>
    <w:rsid w:val="004A0C6B"/>
    <w:rsid w:val="004B12D2"/>
    <w:rsid w:val="004B762D"/>
    <w:rsid w:val="004C1064"/>
    <w:rsid w:val="004C34D7"/>
    <w:rsid w:val="004C6279"/>
    <w:rsid w:val="004E759B"/>
    <w:rsid w:val="004F1520"/>
    <w:rsid w:val="004F17F3"/>
    <w:rsid w:val="004F1E00"/>
    <w:rsid w:val="005068FE"/>
    <w:rsid w:val="00511BD7"/>
    <w:rsid w:val="00517219"/>
    <w:rsid w:val="00527C49"/>
    <w:rsid w:val="005305BB"/>
    <w:rsid w:val="00536E82"/>
    <w:rsid w:val="005409B3"/>
    <w:rsid w:val="0054570F"/>
    <w:rsid w:val="00554FE2"/>
    <w:rsid w:val="00557139"/>
    <w:rsid w:val="00563B24"/>
    <w:rsid w:val="005700B0"/>
    <w:rsid w:val="0058570C"/>
    <w:rsid w:val="00585BA7"/>
    <w:rsid w:val="005972C7"/>
    <w:rsid w:val="00597C60"/>
    <w:rsid w:val="005A0DD3"/>
    <w:rsid w:val="005A1F64"/>
    <w:rsid w:val="005A4BD9"/>
    <w:rsid w:val="005A6BC3"/>
    <w:rsid w:val="005B171B"/>
    <w:rsid w:val="005C1AC6"/>
    <w:rsid w:val="005D5CA4"/>
    <w:rsid w:val="005D6081"/>
    <w:rsid w:val="005D6AB9"/>
    <w:rsid w:val="005D7228"/>
    <w:rsid w:val="005D7512"/>
    <w:rsid w:val="005E3B5E"/>
    <w:rsid w:val="005E6B67"/>
    <w:rsid w:val="005F3C5D"/>
    <w:rsid w:val="00605287"/>
    <w:rsid w:val="00612289"/>
    <w:rsid w:val="0061379F"/>
    <w:rsid w:val="00614D28"/>
    <w:rsid w:val="006152EF"/>
    <w:rsid w:val="00620306"/>
    <w:rsid w:val="0062213F"/>
    <w:rsid w:val="00625E39"/>
    <w:rsid w:val="0062654C"/>
    <w:rsid w:val="00633164"/>
    <w:rsid w:val="00643F44"/>
    <w:rsid w:val="00644A65"/>
    <w:rsid w:val="00656326"/>
    <w:rsid w:val="00662BF2"/>
    <w:rsid w:val="00664B8F"/>
    <w:rsid w:val="00666CBB"/>
    <w:rsid w:val="00667043"/>
    <w:rsid w:val="006843AA"/>
    <w:rsid w:val="006A0F6E"/>
    <w:rsid w:val="006B3B6F"/>
    <w:rsid w:val="006C0244"/>
    <w:rsid w:val="006D0AE9"/>
    <w:rsid w:val="006D61F9"/>
    <w:rsid w:val="006E3225"/>
    <w:rsid w:val="006F2F54"/>
    <w:rsid w:val="006F5FEA"/>
    <w:rsid w:val="007007E5"/>
    <w:rsid w:val="00706D26"/>
    <w:rsid w:val="00710B0C"/>
    <w:rsid w:val="0071281F"/>
    <w:rsid w:val="00713CC8"/>
    <w:rsid w:val="00717169"/>
    <w:rsid w:val="007204F5"/>
    <w:rsid w:val="007205D8"/>
    <w:rsid w:val="007225CB"/>
    <w:rsid w:val="0073033A"/>
    <w:rsid w:val="00730852"/>
    <w:rsid w:val="0073161C"/>
    <w:rsid w:val="00733776"/>
    <w:rsid w:val="0073408C"/>
    <w:rsid w:val="0074458C"/>
    <w:rsid w:val="00752F4B"/>
    <w:rsid w:val="00756592"/>
    <w:rsid w:val="0076244B"/>
    <w:rsid w:val="0077655A"/>
    <w:rsid w:val="007768D7"/>
    <w:rsid w:val="007773B2"/>
    <w:rsid w:val="00787FBA"/>
    <w:rsid w:val="0079171C"/>
    <w:rsid w:val="007A3511"/>
    <w:rsid w:val="007A6BC9"/>
    <w:rsid w:val="007B20D7"/>
    <w:rsid w:val="007C4C47"/>
    <w:rsid w:val="007C7202"/>
    <w:rsid w:val="007D1D67"/>
    <w:rsid w:val="007F020B"/>
    <w:rsid w:val="00807E8A"/>
    <w:rsid w:val="00810591"/>
    <w:rsid w:val="00813281"/>
    <w:rsid w:val="0081506F"/>
    <w:rsid w:val="008268A5"/>
    <w:rsid w:val="0083261E"/>
    <w:rsid w:val="00833255"/>
    <w:rsid w:val="00835CC9"/>
    <w:rsid w:val="008367AE"/>
    <w:rsid w:val="0083773F"/>
    <w:rsid w:val="008407F3"/>
    <w:rsid w:val="0085022A"/>
    <w:rsid w:val="00854686"/>
    <w:rsid w:val="008575FF"/>
    <w:rsid w:val="00872E53"/>
    <w:rsid w:val="008814EF"/>
    <w:rsid w:val="008822EC"/>
    <w:rsid w:val="00887F5D"/>
    <w:rsid w:val="008908D1"/>
    <w:rsid w:val="008919BD"/>
    <w:rsid w:val="008A5AAF"/>
    <w:rsid w:val="008B365B"/>
    <w:rsid w:val="008B7B28"/>
    <w:rsid w:val="008C4D54"/>
    <w:rsid w:val="008D0899"/>
    <w:rsid w:val="008E4552"/>
    <w:rsid w:val="008F06F5"/>
    <w:rsid w:val="008F6892"/>
    <w:rsid w:val="00903778"/>
    <w:rsid w:val="00906659"/>
    <w:rsid w:val="00907089"/>
    <w:rsid w:val="009114B7"/>
    <w:rsid w:val="00912864"/>
    <w:rsid w:val="00913E68"/>
    <w:rsid w:val="009159FD"/>
    <w:rsid w:val="00917A57"/>
    <w:rsid w:val="0092026B"/>
    <w:rsid w:val="0092215C"/>
    <w:rsid w:val="0092314D"/>
    <w:rsid w:val="009331AD"/>
    <w:rsid w:val="0095381D"/>
    <w:rsid w:val="00957C7E"/>
    <w:rsid w:val="00965C6A"/>
    <w:rsid w:val="0097047E"/>
    <w:rsid w:val="00980148"/>
    <w:rsid w:val="00982A39"/>
    <w:rsid w:val="009836E4"/>
    <w:rsid w:val="00993741"/>
    <w:rsid w:val="00994E22"/>
    <w:rsid w:val="00996987"/>
    <w:rsid w:val="009A4255"/>
    <w:rsid w:val="009A49D0"/>
    <w:rsid w:val="009B43A6"/>
    <w:rsid w:val="009B4902"/>
    <w:rsid w:val="009C4DBF"/>
    <w:rsid w:val="009C580D"/>
    <w:rsid w:val="009E2E71"/>
    <w:rsid w:val="009F09BB"/>
    <w:rsid w:val="009F1A46"/>
    <w:rsid w:val="009F3EC4"/>
    <w:rsid w:val="009F5965"/>
    <w:rsid w:val="00A10626"/>
    <w:rsid w:val="00A318A0"/>
    <w:rsid w:val="00A40341"/>
    <w:rsid w:val="00A42794"/>
    <w:rsid w:val="00A4309D"/>
    <w:rsid w:val="00A43915"/>
    <w:rsid w:val="00A44618"/>
    <w:rsid w:val="00A456FC"/>
    <w:rsid w:val="00A52035"/>
    <w:rsid w:val="00A5400E"/>
    <w:rsid w:val="00A576C2"/>
    <w:rsid w:val="00A60C6F"/>
    <w:rsid w:val="00A70990"/>
    <w:rsid w:val="00A70E35"/>
    <w:rsid w:val="00A7118D"/>
    <w:rsid w:val="00A738D7"/>
    <w:rsid w:val="00A75C47"/>
    <w:rsid w:val="00A75E78"/>
    <w:rsid w:val="00A82BD2"/>
    <w:rsid w:val="00A93CB8"/>
    <w:rsid w:val="00AA28EA"/>
    <w:rsid w:val="00AA29C7"/>
    <w:rsid w:val="00AA3C77"/>
    <w:rsid w:val="00AA4A82"/>
    <w:rsid w:val="00AA52AD"/>
    <w:rsid w:val="00AB0428"/>
    <w:rsid w:val="00AB27C9"/>
    <w:rsid w:val="00AD69EA"/>
    <w:rsid w:val="00AE7949"/>
    <w:rsid w:val="00AF7EDC"/>
    <w:rsid w:val="00B04F39"/>
    <w:rsid w:val="00B060C0"/>
    <w:rsid w:val="00B202FC"/>
    <w:rsid w:val="00B20676"/>
    <w:rsid w:val="00B21351"/>
    <w:rsid w:val="00B25C46"/>
    <w:rsid w:val="00B30D29"/>
    <w:rsid w:val="00B37737"/>
    <w:rsid w:val="00B37CEA"/>
    <w:rsid w:val="00B43345"/>
    <w:rsid w:val="00B44910"/>
    <w:rsid w:val="00B63C77"/>
    <w:rsid w:val="00B75B02"/>
    <w:rsid w:val="00B85810"/>
    <w:rsid w:val="00B87DAF"/>
    <w:rsid w:val="00B92270"/>
    <w:rsid w:val="00B9365A"/>
    <w:rsid w:val="00BA051C"/>
    <w:rsid w:val="00BA2061"/>
    <w:rsid w:val="00BB3062"/>
    <w:rsid w:val="00BB6275"/>
    <w:rsid w:val="00BC4683"/>
    <w:rsid w:val="00BD08AE"/>
    <w:rsid w:val="00BD6E16"/>
    <w:rsid w:val="00BE1202"/>
    <w:rsid w:val="00BE558F"/>
    <w:rsid w:val="00C01112"/>
    <w:rsid w:val="00C14236"/>
    <w:rsid w:val="00C16900"/>
    <w:rsid w:val="00C21682"/>
    <w:rsid w:val="00C26E1D"/>
    <w:rsid w:val="00C467A3"/>
    <w:rsid w:val="00C60CC6"/>
    <w:rsid w:val="00C63122"/>
    <w:rsid w:val="00C65D14"/>
    <w:rsid w:val="00C72622"/>
    <w:rsid w:val="00C73899"/>
    <w:rsid w:val="00C7549A"/>
    <w:rsid w:val="00C81D08"/>
    <w:rsid w:val="00C822B7"/>
    <w:rsid w:val="00C82C71"/>
    <w:rsid w:val="00C8442A"/>
    <w:rsid w:val="00C97D2F"/>
    <w:rsid w:val="00CA07AD"/>
    <w:rsid w:val="00CA344F"/>
    <w:rsid w:val="00CB153A"/>
    <w:rsid w:val="00CB50CF"/>
    <w:rsid w:val="00CC0FA8"/>
    <w:rsid w:val="00CC2321"/>
    <w:rsid w:val="00CC2378"/>
    <w:rsid w:val="00CC7294"/>
    <w:rsid w:val="00CD4823"/>
    <w:rsid w:val="00CE3FF6"/>
    <w:rsid w:val="00CF7241"/>
    <w:rsid w:val="00D07A61"/>
    <w:rsid w:val="00D121C1"/>
    <w:rsid w:val="00D14B8E"/>
    <w:rsid w:val="00D168B7"/>
    <w:rsid w:val="00D21569"/>
    <w:rsid w:val="00D22160"/>
    <w:rsid w:val="00D26176"/>
    <w:rsid w:val="00D3654B"/>
    <w:rsid w:val="00D45914"/>
    <w:rsid w:val="00D468E5"/>
    <w:rsid w:val="00D47669"/>
    <w:rsid w:val="00D50F03"/>
    <w:rsid w:val="00D52308"/>
    <w:rsid w:val="00D568C9"/>
    <w:rsid w:val="00D626E0"/>
    <w:rsid w:val="00D63CDF"/>
    <w:rsid w:val="00D665A9"/>
    <w:rsid w:val="00D7168B"/>
    <w:rsid w:val="00D870AE"/>
    <w:rsid w:val="00D908BF"/>
    <w:rsid w:val="00D90B8C"/>
    <w:rsid w:val="00D93B35"/>
    <w:rsid w:val="00D96E8D"/>
    <w:rsid w:val="00DA0E39"/>
    <w:rsid w:val="00DA2538"/>
    <w:rsid w:val="00DA5DBB"/>
    <w:rsid w:val="00DB1ABB"/>
    <w:rsid w:val="00DB4DB4"/>
    <w:rsid w:val="00DC3E7C"/>
    <w:rsid w:val="00DC6103"/>
    <w:rsid w:val="00DD2369"/>
    <w:rsid w:val="00DE07BB"/>
    <w:rsid w:val="00DE4A82"/>
    <w:rsid w:val="00DF3125"/>
    <w:rsid w:val="00DF3AC8"/>
    <w:rsid w:val="00DF7998"/>
    <w:rsid w:val="00E009FD"/>
    <w:rsid w:val="00E04322"/>
    <w:rsid w:val="00E20819"/>
    <w:rsid w:val="00E239A7"/>
    <w:rsid w:val="00E23ACD"/>
    <w:rsid w:val="00E247A7"/>
    <w:rsid w:val="00E32994"/>
    <w:rsid w:val="00E32DCF"/>
    <w:rsid w:val="00E34254"/>
    <w:rsid w:val="00E460A8"/>
    <w:rsid w:val="00E47084"/>
    <w:rsid w:val="00E524CE"/>
    <w:rsid w:val="00E6286A"/>
    <w:rsid w:val="00E63369"/>
    <w:rsid w:val="00E73A13"/>
    <w:rsid w:val="00E83696"/>
    <w:rsid w:val="00E904DD"/>
    <w:rsid w:val="00E932A8"/>
    <w:rsid w:val="00E94183"/>
    <w:rsid w:val="00EC467C"/>
    <w:rsid w:val="00EC6D88"/>
    <w:rsid w:val="00ED0752"/>
    <w:rsid w:val="00ED1E80"/>
    <w:rsid w:val="00EE0D82"/>
    <w:rsid w:val="00EE280E"/>
    <w:rsid w:val="00EE3417"/>
    <w:rsid w:val="00EF5A20"/>
    <w:rsid w:val="00F01B14"/>
    <w:rsid w:val="00F05BA5"/>
    <w:rsid w:val="00F07148"/>
    <w:rsid w:val="00F235AC"/>
    <w:rsid w:val="00F24153"/>
    <w:rsid w:val="00F26523"/>
    <w:rsid w:val="00F33DBF"/>
    <w:rsid w:val="00F37405"/>
    <w:rsid w:val="00F40215"/>
    <w:rsid w:val="00F44754"/>
    <w:rsid w:val="00F47298"/>
    <w:rsid w:val="00F47EE1"/>
    <w:rsid w:val="00F5494C"/>
    <w:rsid w:val="00F60A2B"/>
    <w:rsid w:val="00F665D1"/>
    <w:rsid w:val="00F66D7D"/>
    <w:rsid w:val="00F753F0"/>
    <w:rsid w:val="00F82BE5"/>
    <w:rsid w:val="00F82EBF"/>
    <w:rsid w:val="00F91C8C"/>
    <w:rsid w:val="00F9792A"/>
    <w:rsid w:val="00FA22AB"/>
    <w:rsid w:val="00FC45FB"/>
    <w:rsid w:val="00FC59E0"/>
    <w:rsid w:val="00FC69D7"/>
    <w:rsid w:val="00FE2046"/>
    <w:rsid w:val="00FE3351"/>
    <w:rsid w:val="00FE7E55"/>
    <w:rsid w:val="00FF2F82"/>
    <w:rsid w:val="00FF7D8B"/>
    <w:rsid w:val="4C8E615F"/>
    <w:rsid w:val="5A121A4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5"/>
    <w:qFormat/>
    <w:uiPriority w:val="0"/>
    <w:pPr>
      <w:keepNext/>
      <w:keepLines/>
      <w:spacing w:line="660" w:lineRule="exact"/>
      <w:jc w:val="center"/>
      <w:outlineLvl w:val="0"/>
    </w:pPr>
    <w:rPr>
      <w:rFonts w:ascii="方正小标宋简体" w:hAnsi="黑体" w:eastAsia="方正小标宋简体" w:cs="黑体"/>
      <w:bCs/>
      <w:kern w:val="44"/>
      <w:sz w:val="36"/>
      <w:szCs w:val="32"/>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unhideWhenUsed/>
    <w:qFormat/>
    <w:uiPriority w:val="99"/>
    <w:rPr>
      <w:b/>
      <w:bCs/>
    </w:rPr>
  </w:style>
  <w:style w:type="paragraph" w:styleId="4">
    <w:name w:val="annotation text"/>
    <w:basedOn w:val="1"/>
    <w:link w:val="21"/>
    <w:unhideWhenUsed/>
    <w:qFormat/>
    <w:uiPriority w:val="0"/>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Balloon Text"/>
    <w:basedOn w:val="1"/>
    <w:link w:val="23"/>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0">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unhideWhenUsed/>
    <w:qFormat/>
    <w:uiPriority w:val="0"/>
    <w:rPr>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2"/>
    <w:link w:val="8"/>
    <w:qFormat/>
    <w:uiPriority w:val="99"/>
    <w:rPr>
      <w:sz w:val="18"/>
      <w:szCs w:val="18"/>
    </w:rPr>
  </w:style>
  <w:style w:type="character" w:customStyle="1" w:styleId="19">
    <w:name w:val="页脚 Char"/>
    <w:basedOn w:val="12"/>
    <w:link w:val="7"/>
    <w:qFormat/>
    <w:uiPriority w:val="99"/>
    <w:rPr>
      <w:sz w:val="18"/>
      <w:szCs w:val="18"/>
    </w:rPr>
  </w:style>
  <w:style w:type="paragraph" w:customStyle="1" w:styleId="20">
    <w:name w:val="列出段落1"/>
    <w:basedOn w:val="1"/>
    <w:qFormat/>
    <w:uiPriority w:val="34"/>
    <w:pPr>
      <w:ind w:firstLine="420" w:firstLineChars="200"/>
    </w:pPr>
  </w:style>
  <w:style w:type="character" w:customStyle="1" w:styleId="21">
    <w:name w:val="批注文字 Char"/>
    <w:basedOn w:val="12"/>
    <w:link w:val="4"/>
    <w:semiHidden/>
    <w:qFormat/>
    <w:uiPriority w:val="99"/>
    <w:rPr>
      <w:rFonts w:ascii="Times New Roman" w:hAnsi="Times New Roman" w:eastAsia="宋体" w:cs="Times New Roman"/>
      <w:szCs w:val="20"/>
    </w:rPr>
  </w:style>
  <w:style w:type="character" w:customStyle="1" w:styleId="22">
    <w:name w:val="批注主题 Char"/>
    <w:basedOn w:val="21"/>
    <w:link w:val="3"/>
    <w:semiHidden/>
    <w:qFormat/>
    <w:uiPriority w:val="99"/>
    <w:rPr>
      <w:rFonts w:ascii="Times New Roman" w:hAnsi="Times New Roman" w:eastAsia="宋体" w:cs="Times New Roman"/>
      <w:b/>
      <w:bCs/>
      <w:szCs w:val="20"/>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 w:type="character" w:customStyle="1" w:styleId="24">
    <w:name w:val="批注文字 Char1"/>
    <w:basedOn w:val="12"/>
    <w:qFormat/>
    <w:uiPriority w:val="0"/>
    <w:rPr>
      <w:rFonts w:ascii="Times New Roman" w:hAnsi="Times New Roman" w:eastAsia="宋体" w:cs="Times New Roman"/>
      <w:szCs w:val="20"/>
    </w:rPr>
  </w:style>
  <w:style w:type="character" w:customStyle="1" w:styleId="25">
    <w:name w:val="标题 1 Char"/>
    <w:basedOn w:val="12"/>
    <w:link w:val="2"/>
    <w:qFormat/>
    <w:uiPriority w:val="0"/>
    <w:rPr>
      <w:rFonts w:ascii="方正小标宋简体" w:hAnsi="黑体" w:eastAsia="方正小标宋简体" w:cs="黑体"/>
      <w:bCs/>
      <w:kern w:val="44"/>
      <w:sz w:val="36"/>
      <w:szCs w:val="32"/>
    </w:rPr>
  </w:style>
  <w:style w:type="paragraph" w:customStyle="1" w:styleId="2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376092" w:themeColor="accent1" w:themeShade="BF"/>
      <w:kern w:val="0"/>
      <w:sz w:val="32"/>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DDA6D-84BB-430D-BF15-70608EECB1C6}">
  <ds:schemaRefs/>
</ds:datastoreItem>
</file>

<file path=docProps/app.xml><?xml version="1.0" encoding="utf-8"?>
<Properties xmlns="http://schemas.openxmlformats.org/officeDocument/2006/extended-properties" xmlns:vt="http://schemas.openxmlformats.org/officeDocument/2006/docPropsVTypes">
  <Template>Normal</Template>
  <Pages>11</Pages>
  <Words>1206</Words>
  <Characters>6880</Characters>
  <Lines>57</Lines>
  <Paragraphs>16</Paragraphs>
  <TotalTime>0</TotalTime>
  <ScaleCrop>false</ScaleCrop>
  <LinksUpToDate>false</LinksUpToDate>
  <CharactersWithSpaces>8070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2016-11-11T07:42:00Z</dcterms:created>
  <dc:creator>keping</dc:creator>
  <cp:lastModifiedBy>pc-1</cp:lastModifiedBy>
  <dcterms:modified xsi:type="dcterms:W3CDTF">2017-02-13T04:04:55Z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